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Mono" w:cs="Roboto Mono" w:eastAsia="Roboto Mono" w:hAnsi="Roboto Mono"/>
          <w:b w:val="1"/>
          <w:sz w:val="28"/>
          <w:szCs w:val="28"/>
        </w:rPr>
      </w:pPr>
      <w:r w:rsidDel="00000000" w:rsidR="00000000" w:rsidRPr="00000000">
        <w:rPr>
          <w:rtl w:val="0"/>
        </w:rPr>
      </w:r>
    </w:p>
    <w:p w:rsidR="00000000" w:rsidDel="00000000" w:rsidP="00000000" w:rsidRDefault="00000000" w:rsidRPr="00000000" w14:paraId="00000002">
      <w:pPr>
        <w:jc w:val="center"/>
        <w:rPr>
          <w:rFonts w:ascii="Lexend" w:cs="Lexend" w:eastAsia="Lexend" w:hAnsi="Lexend"/>
          <w:sz w:val="34"/>
          <w:szCs w:val="34"/>
          <w:u w:val="single"/>
        </w:rPr>
      </w:pPr>
      <w:r w:rsidDel="00000000" w:rsidR="00000000" w:rsidRPr="00000000">
        <w:rPr>
          <w:rFonts w:ascii="Lexend" w:cs="Lexend" w:eastAsia="Lexend" w:hAnsi="Lexend"/>
          <w:sz w:val="34"/>
          <w:szCs w:val="34"/>
          <w:u w:val="single"/>
          <w:rtl w:val="0"/>
        </w:rPr>
        <w:t xml:space="preserve">Paper 1: Trend identification with the relative strength index (RSI) technical indicator – A conceptual study</w:t>
      </w:r>
    </w:p>
    <w:p w:rsidR="00000000" w:rsidDel="00000000" w:rsidP="00000000" w:rsidRDefault="00000000" w:rsidRPr="00000000" w14:paraId="00000003">
      <w:pPr>
        <w:jc w:val="center"/>
        <w:rPr>
          <w:rFonts w:ascii="Roboto Mono" w:cs="Roboto Mono" w:eastAsia="Roboto Mono" w:hAnsi="Roboto Mono"/>
          <w:b w:val="1"/>
          <w:sz w:val="34"/>
          <w:szCs w:val="34"/>
        </w:rPr>
      </w:pPr>
      <w:r w:rsidDel="00000000" w:rsidR="00000000" w:rsidRPr="00000000">
        <w:rPr>
          <w:rtl w:val="0"/>
        </w:rPr>
      </w:r>
    </w:p>
    <w:p w:rsidR="00000000" w:rsidDel="00000000" w:rsidP="00000000" w:rsidRDefault="00000000" w:rsidRPr="00000000" w14:paraId="00000004">
      <w:pPr>
        <w:ind w:lef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Overview:</w:t>
      </w:r>
    </w:p>
    <w:p w:rsidR="00000000" w:rsidDel="00000000" w:rsidP="00000000" w:rsidRDefault="00000000" w:rsidRPr="00000000" w14:paraId="00000005">
      <w:pPr>
        <w:jc w:val="left"/>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The paper studies the use of the RSI which is a momentum oscillator developed by J. Welles Wilder Jr., to identify overbought and oversold conditions in the market. Traditionally, RSI values above 70 indicate overbought conditions, while values below 30 suggest oversold conditions. But here in the paper, the researchers have used two different types of RSI thresholds, the 50-50 and the 60-40 indicators. Both of these have been included in the code. Along with that, I have also calculated ANOVA (Analysis of Variance) tables to compare the performance of both strategies rigorously. </w:t>
      </w:r>
    </w:p>
    <w:p w:rsidR="00000000" w:rsidDel="00000000" w:rsidP="00000000" w:rsidRDefault="00000000" w:rsidRPr="00000000" w14:paraId="00000006">
      <w:pPr>
        <w:jc w:val="left"/>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07">
      <w:pPr>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Data used:</w:t>
      </w:r>
    </w:p>
    <w:p w:rsidR="00000000" w:rsidDel="00000000" w:rsidP="00000000" w:rsidRDefault="00000000" w:rsidRPr="00000000" w14:paraId="00000008">
      <w:pPr>
        <w:numPr>
          <w:ilvl w:val="0"/>
          <w:numId w:val="3"/>
        </w:numPr>
        <w:ind w:left="720" w:hanging="360"/>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All the data used in the code was extracted from Yahoo Finance (yfinance). Timeframe was 2007-01-01 to 2021-01-01.</w:t>
      </w:r>
    </w:p>
    <w:p w:rsidR="00000000" w:rsidDel="00000000" w:rsidP="00000000" w:rsidRDefault="00000000" w:rsidRPr="00000000" w14:paraId="00000009">
      <w:pPr>
        <w:numPr>
          <w:ilvl w:val="0"/>
          <w:numId w:val="3"/>
        </w:numPr>
        <w:ind w:left="720" w:hanging="360"/>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I couldn’t use the same timeframe as the research paper as yfinance only has Nifty50 data from 2007.</w:t>
      </w:r>
    </w:p>
    <w:p w:rsidR="00000000" w:rsidDel="00000000" w:rsidP="00000000" w:rsidRDefault="00000000" w:rsidRPr="00000000" w14:paraId="0000000A">
      <w:pPr>
        <w:jc w:val="left"/>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0B">
      <w:pPr>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Implementations in code:</w:t>
      </w:r>
    </w:p>
    <w:p w:rsidR="00000000" w:rsidDel="00000000" w:rsidP="00000000" w:rsidRDefault="00000000" w:rsidRPr="00000000" w14:paraId="0000000C">
      <w:pPr>
        <w:numPr>
          <w:ilvl w:val="0"/>
          <w:numId w:val="1"/>
        </w:numPr>
        <w:ind w:left="720" w:hanging="360"/>
        <w:jc w:val="left"/>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Imported all the necessary libraries and then imported data from yfinance over time period 2007-01-01 to 2021-01-01</w:t>
      </w:r>
    </w:p>
    <w:p w:rsidR="00000000" w:rsidDel="00000000" w:rsidP="00000000" w:rsidRDefault="00000000" w:rsidRPr="00000000" w14:paraId="0000000D">
      <w:pPr>
        <w:numPr>
          <w:ilvl w:val="0"/>
          <w:numId w:val="1"/>
        </w:numPr>
        <w:ind w:left="720" w:hanging="360"/>
        <w:jc w:val="left"/>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Plotted the price graphs for visual clarity</w:t>
      </w:r>
    </w:p>
    <w:p w:rsidR="00000000" w:rsidDel="00000000" w:rsidP="00000000" w:rsidRDefault="00000000" w:rsidRPr="00000000" w14:paraId="0000000E">
      <w:pPr>
        <w:numPr>
          <w:ilvl w:val="0"/>
          <w:numId w:val="1"/>
        </w:numPr>
        <w:ind w:left="720" w:hanging="360"/>
        <w:jc w:val="left"/>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Defined Relative strength index and its calculation</w:t>
      </w:r>
    </w:p>
    <w:p w:rsidR="00000000" w:rsidDel="00000000" w:rsidP="00000000" w:rsidRDefault="00000000" w:rsidRPr="00000000" w14:paraId="0000000F">
      <w:pPr>
        <w:numPr>
          <w:ilvl w:val="0"/>
          <w:numId w:val="1"/>
        </w:numPr>
        <w:ind w:left="720" w:hanging="360"/>
        <w:jc w:val="left"/>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Implemented the 50-50 strategy along with trend analysis and yearly returns</w:t>
      </w:r>
    </w:p>
    <w:p w:rsidR="00000000" w:rsidDel="00000000" w:rsidP="00000000" w:rsidRDefault="00000000" w:rsidRPr="00000000" w14:paraId="00000010">
      <w:pPr>
        <w:numPr>
          <w:ilvl w:val="0"/>
          <w:numId w:val="1"/>
        </w:numPr>
        <w:ind w:left="720" w:hanging="360"/>
        <w:jc w:val="left"/>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Implemented the 60-40 strategy along with trend analysis and yearly returns</w:t>
      </w:r>
    </w:p>
    <w:p w:rsidR="00000000" w:rsidDel="00000000" w:rsidP="00000000" w:rsidRDefault="00000000" w:rsidRPr="00000000" w14:paraId="00000011">
      <w:pPr>
        <w:numPr>
          <w:ilvl w:val="0"/>
          <w:numId w:val="1"/>
        </w:numPr>
        <w:ind w:left="720" w:hanging="360"/>
        <w:jc w:val="left"/>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Calculated ANOVA tables and data summary tables</w:t>
      </w:r>
    </w:p>
    <w:p w:rsidR="00000000" w:rsidDel="00000000" w:rsidP="00000000" w:rsidRDefault="00000000" w:rsidRPr="00000000" w14:paraId="00000012">
      <w:pPr>
        <w:numPr>
          <w:ilvl w:val="0"/>
          <w:numId w:val="1"/>
        </w:numPr>
        <w:ind w:left="720" w:hanging="360"/>
        <w:jc w:val="left"/>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F &amp; P value conclusion tables </w:t>
      </w:r>
    </w:p>
    <w:p w:rsidR="00000000" w:rsidDel="00000000" w:rsidP="00000000" w:rsidRDefault="00000000" w:rsidRPr="00000000" w14:paraId="00000013">
      <w:pPr>
        <w:numPr>
          <w:ilvl w:val="0"/>
          <w:numId w:val="1"/>
        </w:numPr>
        <w:ind w:left="720" w:hanging="360"/>
        <w:jc w:val="left"/>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Answer to Brownie points which included using high quality database and advanced implementations</w:t>
      </w:r>
    </w:p>
    <w:p w:rsidR="00000000" w:rsidDel="00000000" w:rsidP="00000000" w:rsidRDefault="00000000" w:rsidRPr="00000000" w14:paraId="00000014">
      <w:pPr>
        <w:jc w:val="left"/>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15">
      <w:pPr>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Key assumptions:</w:t>
      </w:r>
    </w:p>
    <w:p w:rsidR="00000000" w:rsidDel="00000000" w:rsidP="00000000" w:rsidRDefault="00000000" w:rsidRPr="00000000" w14:paraId="00000016">
      <w:pPr>
        <w:numPr>
          <w:ilvl w:val="0"/>
          <w:numId w:val="2"/>
        </w:numPr>
        <w:ind w:left="720" w:hanging="360"/>
        <w:jc w:val="left"/>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No slippage/ transaction costs in trades</w:t>
      </w:r>
    </w:p>
    <w:p w:rsidR="00000000" w:rsidDel="00000000" w:rsidP="00000000" w:rsidRDefault="00000000" w:rsidRPr="00000000" w14:paraId="00000017">
      <w:pPr>
        <w:numPr>
          <w:ilvl w:val="0"/>
          <w:numId w:val="2"/>
        </w:numPr>
        <w:ind w:left="720" w:hanging="360"/>
        <w:jc w:val="left"/>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NIFTY 50 index represents a typical market portfolio</w:t>
      </w:r>
    </w:p>
    <w:p w:rsidR="00000000" w:rsidDel="00000000" w:rsidP="00000000" w:rsidRDefault="00000000" w:rsidRPr="00000000" w14:paraId="00000018">
      <w:pPr>
        <w:numPr>
          <w:ilvl w:val="0"/>
          <w:numId w:val="2"/>
        </w:numPr>
        <w:ind w:left="720" w:hanging="360"/>
        <w:jc w:val="left"/>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Assumes RSI is a reliable momentum oscillator and can signal short-term and long-term trends</w:t>
      </w:r>
    </w:p>
    <w:p w:rsidR="00000000" w:rsidDel="00000000" w:rsidP="00000000" w:rsidRDefault="00000000" w:rsidRPr="00000000" w14:paraId="00000019">
      <w:pPr>
        <w:numPr>
          <w:ilvl w:val="0"/>
          <w:numId w:val="2"/>
        </w:numPr>
        <w:ind w:left="720" w:hanging="360"/>
        <w:jc w:val="left"/>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Returns of each strategy are assumed independent of each other (Independence of observations)</w:t>
      </w:r>
    </w:p>
    <w:p w:rsidR="00000000" w:rsidDel="00000000" w:rsidP="00000000" w:rsidRDefault="00000000" w:rsidRPr="00000000" w14:paraId="0000001A">
      <w:pPr>
        <w:numPr>
          <w:ilvl w:val="0"/>
          <w:numId w:val="2"/>
        </w:numPr>
        <w:ind w:left="720" w:hanging="360"/>
        <w:jc w:val="left"/>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The distribution of returns for each strategy is assumed to be approximately normally distributed, allowing use of ANOVA.</w:t>
      </w:r>
    </w:p>
    <w:p w:rsidR="00000000" w:rsidDel="00000000" w:rsidP="00000000" w:rsidRDefault="00000000" w:rsidRPr="00000000" w14:paraId="0000001B">
      <w:pPr>
        <w:numPr>
          <w:ilvl w:val="0"/>
          <w:numId w:val="2"/>
        </w:numPr>
        <w:ind w:left="720" w:hanging="360"/>
        <w:jc w:val="left"/>
        <w:rPr>
          <w:rFonts w:ascii="Roboto Mono Light" w:cs="Roboto Mono Light" w:eastAsia="Roboto Mono Light" w:hAnsi="Roboto Mono Light"/>
          <w:sz w:val="20"/>
          <w:szCs w:val="20"/>
          <w:u w:val="none"/>
        </w:rPr>
      </w:pPr>
      <w:r w:rsidDel="00000000" w:rsidR="00000000" w:rsidRPr="00000000">
        <w:rPr>
          <w:rFonts w:ascii="Roboto Mono Light" w:cs="Roboto Mono Light" w:eastAsia="Roboto Mono Light" w:hAnsi="Roboto Mono Light"/>
          <w:sz w:val="20"/>
          <w:szCs w:val="20"/>
          <w:rtl w:val="0"/>
        </w:rPr>
        <w:t xml:space="preserve">Market conditions are standard enough to apply statistical analysis</w:t>
      </w:r>
    </w:p>
    <w:p w:rsidR="00000000" w:rsidDel="00000000" w:rsidP="00000000" w:rsidRDefault="00000000" w:rsidRPr="00000000" w14:paraId="0000001C">
      <w:pPr>
        <w:jc w:val="left"/>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b w:val="1"/>
          <w:sz w:val="34"/>
          <w:szCs w:val="34"/>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b w:val="1"/>
          <w:sz w:val="34"/>
          <w:szCs w:val="34"/>
        </w:rPr>
      </w:pPr>
      <w:r w:rsidDel="00000000" w:rsidR="00000000" w:rsidRPr="00000000">
        <w:rPr>
          <w:rtl w:val="0"/>
        </w:rPr>
      </w:r>
    </w:p>
    <w:p w:rsidR="00000000" w:rsidDel="00000000" w:rsidP="00000000" w:rsidRDefault="00000000" w:rsidRPr="00000000" w14:paraId="0000001F">
      <w:pPr>
        <w:rPr>
          <w:rFonts w:ascii="Roboto Mono Light" w:cs="Roboto Mono Light" w:eastAsia="Roboto Mono Light" w:hAnsi="Roboto Mono Light"/>
          <w:sz w:val="24"/>
          <w:szCs w:val="24"/>
          <w:u w:val="single"/>
        </w:rPr>
      </w:pPr>
      <w:r w:rsidDel="00000000" w:rsidR="00000000" w:rsidRPr="00000000">
        <w:rPr>
          <w:rFonts w:ascii="Roboto Mono" w:cs="Roboto Mono" w:eastAsia="Roboto Mono" w:hAnsi="Roboto Mono"/>
          <w:sz w:val="30"/>
          <w:szCs w:val="30"/>
          <w:u w:val="single"/>
          <w:rtl w:val="0"/>
        </w:rPr>
        <w:t xml:space="preserve">Observations:</w: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Roboto Mono Light" w:cs="Roboto Mono Light" w:eastAsia="Roboto Mono Light" w:hAnsi="Roboto Mono Light"/>
          <w:b w:val="1"/>
          <w:color w:val="000000"/>
          <w:sz w:val="24"/>
          <w:szCs w:val="24"/>
        </w:rPr>
      </w:pPr>
      <w:bookmarkStart w:colFirst="0" w:colLast="0" w:name="_1z6iyw7mfnw1" w:id="0"/>
      <w:bookmarkEnd w:id="0"/>
      <w:r w:rsidDel="00000000" w:rsidR="00000000" w:rsidRPr="00000000">
        <w:rPr>
          <w:rFonts w:ascii="Roboto Mono Light" w:cs="Roboto Mono Light" w:eastAsia="Roboto Mono Light" w:hAnsi="Roboto Mono Light"/>
          <w:b w:val="1"/>
          <w:color w:val="000000"/>
          <w:sz w:val="24"/>
          <w:szCs w:val="24"/>
          <w:rtl w:val="0"/>
        </w:rPr>
        <w:t xml:space="preserve">1. Modified RSI Thresholds can be used for Trend Identification</w:t>
      </w:r>
    </w:p>
    <w:p w:rsidR="00000000" w:rsidDel="00000000" w:rsidP="00000000" w:rsidRDefault="00000000" w:rsidRPr="00000000" w14:paraId="00000021">
      <w:pPr>
        <w:spacing w:after="240" w:before="240"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The study confirms that modifying the conventional RSI thresholds (70/30) to 50-50 or 60-40 can provide useful signals for market trends. The 50-50 strategy is more aggressive and reacts quicker to short-term price movements. The 60-40 strategy is relatively conservative, avoiding premature exit signals and reducing extreme downside. These modifications allow traders to use RSI to different market conditions rather than relying strictly on 70-30 strategy.</w:t>
      </w:r>
    </w:p>
    <w:p w:rsidR="00000000" w:rsidDel="00000000" w:rsidP="00000000" w:rsidRDefault="00000000" w:rsidRPr="00000000" w14:paraId="00000022">
      <w:pPr>
        <w:pStyle w:val="Heading3"/>
        <w:keepNext w:val="0"/>
        <w:keepLines w:val="0"/>
        <w:spacing w:before="280" w:lineRule="auto"/>
        <w:rPr>
          <w:rFonts w:ascii="Roboto Mono Light" w:cs="Roboto Mono Light" w:eastAsia="Roboto Mono Light" w:hAnsi="Roboto Mono Light"/>
          <w:b w:val="1"/>
          <w:color w:val="000000"/>
          <w:sz w:val="24"/>
          <w:szCs w:val="24"/>
        </w:rPr>
      </w:pPr>
      <w:bookmarkStart w:colFirst="0" w:colLast="0" w:name="_dw2r34mvx9zl" w:id="1"/>
      <w:bookmarkEnd w:id="1"/>
      <w:r w:rsidDel="00000000" w:rsidR="00000000" w:rsidRPr="00000000">
        <w:rPr>
          <w:rFonts w:ascii="Roboto Mono Light" w:cs="Roboto Mono Light" w:eastAsia="Roboto Mono Light" w:hAnsi="Roboto Mono Light"/>
          <w:b w:val="1"/>
          <w:color w:val="000000"/>
          <w:sz w:val="24"/>
          <w:szCs w:val="24"/>
          <w:rtl w:val="0"/>
        </w:rPr>
        <w:t xml:space="preserve">2. Both Strategies Yield Comparable Returns</w:t>
      </w:r>
    </w:p>
    <w:p w:rsidR="00000000" w:rsidDel="00000000" w:rsidP="00000000" w:rsidRDefault="00000000" w:rsidRPr="00000000" w14:paraId="00000023">
      <w:pPr>
        <w:spacing w:after="240" w:before="240"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Analysis of historical NIFTY 50 data shows that the final returns of 50-50 and 60-40 strategies are not close ( 139%  and 245% respectively ), but ANOVA results indicate </w:t>
      </w:r>
      <w:r w:rsidDel="00000000" w:rsidR="00000000" w:rsidRPr="00000000">
        <w:rPr>
          <w:rFonts w:ascii="Roboto Mono Light" w:cs="Roboto Mono Light" w:eastAsia="Roboto Mono Light" w:hAnsi="Roboto Mono Light"/>
          <w:sz w:val="20"/>
          <w:szCs w:val="20"/>
          <w:u w:val="single"/>
          <w:rtl w:val="0"/>
        </w:rPr>
        <w:t xml:space="preserve">no statistically significant difference (P &gt; 0.05)</w:t>
      </w:r>
      <w:r w:rsidDel="00000000" w:rsidR="00000000" w:rsidRPr="00000000">
        <w:rPr>
          <w:rFonts w:ascii="Roboto Mono Light" w:cs="Roboto Mono Light" w:eastAsia="Roboto Mono Light" w:hAnsi="Roboto Mono Light"/>
          <w:sz w:val="20"/>
          <w:szCs w:val="20"/>
          <w:rtl w:val="0"/>
        </w:rPr>
        <w:t xml:space="preserve">. Any apparent advantage of one strategy over the other in specific years may be due to random fluctuations and not inherent superiority. This proves the idea that RSI threshold adjustments affect signal timing more than long-term profitability.</w:t>
      </w:r>
    </w:p>
    <w:p w:rsidR="00000000" w:rsidDel="00000000" w:rsidP="00000000" w:rsidRDefault="00000000" w:rsidRPr="00000000" w14:paraId="00000024">
      <w:pPr>
        <w:pStyle w:val="Heading3"/>
        <w:keepNext w:val="0"/>
        <w:keepLines w:val="0"/>
        <w:spacing w:before="280" w:lineRule="auto"/>
        <w:rPr>
          <w:rFonts w:ascii="Roboto Mono Light" w:cs="Roboto Mono Light" w:eastAsia="Roboto Mono Light" w:hAnsi="Roboto Mono Light"/>
          <w:b w:val="1"/>
          <w:color w:val="000000"/>
          <w:sz w:val="26"/>
          <w:szCs w:val="26"/>
        </w:rPr>
      </w:pPr>
      <w:bookmarkStart w:colFirst="0" w:colLast="0" w:name="_n0y7q1cbcwow" w:id="2"/>
      <w:bookmarkEnd w:id="2"/>
      <w:r w:rsidDel="00000000" w:rsidR="00000000" w:rsidRPr="00000000">
        <w:rPr>
          <w:rFonts w:ascii="Roboto Mono Light" w:cs="Roboto Mono Light" w:eastAsia="Roboto Mono Light" w:hAnsi="Roboto Mono Light"/>
          <w:b w:val="1"/>
          <w:color w:val="000000"/>
          <w:sz w:val="26"/>
          <w:szCs w:val="26"/>
          <w:rtl w:val="0"/>
        </w:rPr>
        <w:t xml:space="preserve">3. Risk and Volatility Characteristics Differ</w:t>
      </w:r>
    </w:p>
    <w:p w:rsidR="00000000" w:rsidDel="00000000" w:rsidP="00000000" w:rsidRDefault="00000000" w:rsidRPr="00000000" w14:paraId="00000025">
      <w:pPr>
        <w:spacing w:after="240" w:before="240" w:lineRule="auto"/>
        <w:rPr>
          <w:rFonts w:ascii="Roboto Mono Light" w:cs="Roboto Mono Light" w:eastAsia="Roboto Mono Light" w:hAnsi="Roboto Mono Light"/>
          <w:sz w:val="24"/>
          <w:szCs w:val="24"/>
          <w:u w:val="single"/>
        </w:rPr>
      </w:pPr>
      <w:r w:rsidDel="00000000" w:rsidR="00000000" w:rsidRPr="00000000">
        <w:rPr>
          <w:rFonts w:ascii="Roboto Mono Light" w:cs="Roboto Mono Light" w:eastAsia="Roboto Mono Light" w:hAnsi="Roboto Mono Light"/>
          <w:sz w:val="20"/>
          <w:szCs w:val="20"/>
          <w:rtl w:val="0"/>
        </w:rPr>
        <w:t xml:space="preserve">50-50 Strategy: Exhibits higher volatility in extreme years. This strategy is more suitable for risk-tolerant investors seeking returns in bullish markets.</w:t>
        <w:br w:type="textWrapping"/>
        <w:t xml:space="preserve">60-40 Strategy: Reduces extreme losses, while maintaining reasonably high gains. This strategy is better for risk-averse investors, providing smoother performance during volatile periods.</w:t>
        <w:br w:type="textWrapping"/>
      </w:r>
      <w:r w:rsidDel="00000000" w:rsidR="00000000" w:rsidRPr="00000000">
        <w:rPr>
          <w:rFonts w:ascii="Roboto Mono Light" w:cs="Roboto Mono Light" w:eastAsia="Roboto Mono Light" w:hAnsi="Roboto Mono Light"/>
          <w:sz w:val="20"/>
          <w:szCs w:val="20"/>
          <w:u w:val="single"/>
          <w:rtl w:val="0"/>
        </w:rPr>
        <w:t xml:space="preserve">Strategy selection therefore should consider investor risk tolerance rather than purely historical returns.</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Roboto Mono Light" w:cs="Roboto Mono Light" w:eastAsia="Roboto Mono Light" w:hAnsi="Roboto Mono Light"/>
          <w:b w:val="1"/>
          <w:color w:val="000000"/>
          <w:sz w:val="24"/>
          <w:szCs w:val="24"/>
        </w:rPr>
      </w:pPr>
      <w:bookmarkStart w:colFirst="0" w:colLast="0" w:name="_kzjes6n5v425" w:id="3"/>
      <w:bookmarkEnd w:id="3"/>
      <w:r w:rsidDel="00000000" w:rsidR="00000000" w:rsidRPr="00000000">
        <w:rPr>
          <w:rFonts w:ascii="Roboto Mono Light" w:cs="Roboto Mono Light" w:eastAsia="Roboto Mono Light" w:hAnsi="Roboto Mono Light"/>
          <w:b w:val="1"/>
          <w:color w:val="000000"/>
          <w:sz w:val="24"/>
          <w:szCs w:val="24"/>
          <w:rtl w:val="0"/>
        </w:rPr>
        <w:t xml:space="preserve">4. Practical Implications for Traders</w:t>
      </w:r>
    </w:p>
    <w:p w:rsidR="00000000" w:rsidDel="00000000" w:rsidP="00000000" w:rsidRDefault="00000000" w:rsidRPr="00000000" w14:paraId="00000027">
      <w:pPr>
        <w:spacing w:after="240" w:before="240" w:lineRule="auto"/>
        <w:rPr>
          <w:rFonts w:ascii="Roboto Mono Light" w:cs="Roboto Mono Light" w:eastAsia="Roboto Mono Light" w:hAnsi="Roboto Mono Light"/>
          <w:sz w:val="24"/>
          <w:szCs w:val="24"/>
        </w:rPr>
      </w:pPr>
      <w:r w:rsidDel="00000000" w:rsidR="00000000" w:rsidRPr="00000000">
        <w:rPr>
          <w:rFonts w:ascii="Roboto Mono Light" w:cs="Roboto Mono Light" w:eastAsia="Roboto Mono Light" w:hAnsi="Roboto Mono Light"/>
          <w:sz w:val="20"/>
          <w:szCs w:val="20"/>
          <w:rtl w:val="0"/>
        </w:rPr>
        <w:t xml:space="preserve">RSI is useful for trend identification but is not a standalone decision tool. Traders should combine modified RSI strategies with other technical indicators, such as moving averages or MACD, and consider market context or fundamental analysis. Adjusting RSI thresholds allows customization for short-term versus long-term trading goals.</w: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rFonts w:ascii="Roboto Mono Light" w:cs="Roboto Mono Light" w:eastAsia="Roboto Mono Light" w:hAnsi="Roboto Mono Light"/>
          <w:b w:val="1"/>
          <w:color w:val="000000"/>
          <w:sz w:val="24"/>
          <w:szCs w:val="24"/>
        </w:rPr>
      </w:pPr>
      <w:bookmarkStart w:colFirst="0" w:colLast="0" w:name="_y0dnawxff53b" w:id="4"/>
      <w:bookmarkEnd w:id="4"/>
      <w:r w:rsidDel="00000000" w:rsidR="00000000" w:rsidRPr="00000000">
        <w:rPr>
          <w:rFonts w:ascii="Roboto Mono Light" w:cs="Roboto Mono Light" w:eastAsia="Roboto Mono Light" w:hAnsi="Roboto Mono Light"/>
          <w:b w:val="1"/>
          <w:color w:val="000000"/>
          <w:sz w:val="24"/>
          <w:szCs w:val="24"/>
          <w:rtl w:val="0"/>
        </w:rPr>
        <w:t xml:space="preserve">5. Importance of Statistical Validation</w:t>
      </w:r>
    </w:p>
    <w:p w:rsidR="00000000" w:rsidDel="00000000" w:rsidP="00000000" w:rsidRDefault="00000000" w:rsidRPr="00000000" w14:paraId="00000029">
      <w:pPr>
        <w:spacing w:after="240" w:before="240"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By performing ANOVA, the study highlights the need for statistical testing before assuming a strategy is better. Even if 50-50 appears more aggressive and 60-40 more stable, </w:t>
      </w:r>
      <w:r w:rsidDel="00000000" w:rsidR="00000000" w:rsidRPr="00000000">
        <w:rPr>
          <w:rFonts w:ascii="Roboto Mono Light" w:cs="Roboto Mono Light" w:eastAsia="Roboto Mono Light" w:hAnsi="Roboto Mono Light"/>
          <w:sz w:val="20"/>
          <w:szCs w:val="20"/>
          <w:u w:val="single"/>
          <w:rtl w:val="0"/>
        </w:rPr>
        <w:t xml:space="preserve">statistical tests show that neither strategy significantly outperforms the other over the study period</w:t>
      </w:r>
      <w:r w:rsidDel="00000000" w:rsidR="00000000" w:rsidRPr="00000000">
        <w:rPr>
          <w:rFonts w:ascii="Roboto Mono Light" w:cs="Roboto Mono Light" w:eastAsia="Roboto Mono Light" w:hAnsi="Roboto Mono Light"/>
          <w:sz w:val="20"/>
          <w:szCs w:val="20"/>
          <w:rtl w:val="0"/>
        </w:rPr>
        <w:t xml:space="preserve">. This emphasizes that trend-following strategies should be evaluated over multiple market cycles, not just individual years.</w:t>
      </w:r>
    </w:p>
    <w:p w:rsidR="00000000" w:rsidDel="00000000" w:rsidP="00000000" w:rsidRDefault="00000000" w:rsidRPr="00000000" w14:paraId="0000002A">
      <w:pPr>
        <w:spacing w:after="240" w:before="240" w:lineRule="auto"/>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Roboto Mono Light" w:cs="Roboto Mono Light" w:eastAsia="Roboto Mono Light" w:hAnsi="Roboto Mono Light"/>
          <w:b w:val="1"/>
          <w:color w:val="000000"/>
          <w:sz w:val="24"/>
          <w:szCs w:val="24"/>
        </w:rPr>
      </w:pPr>
      <w:bookmarkStart w:colFirst="0" w:colLast="0" w:name="_93ehtk6vxvhi" w:id="5"/>
      <w:bookmarkEnd w:id="5"/>
      <w:r w:rsidDel="00000000" w:rsidR="00000000" w:rsidRPr="00000000">
        <w:rPr>
          <w:rFonts w:ascii="Roboto Mono Light" w:cs="Roboto Mono Light" w:eastAsia="Roboto Mono Light" w:hAnsi="Roboto Mono Light"/>
          <w:b w:val="1"/>
          <w:color w:val="000000"/>
          <w:sz w:val="24"/>
          <w:szCs w:val="24"/>
          <w:rtl w:val="0"/>
        </w:rPr>
        <w:t xml:space="preserve">6. Limitations and Considerations</w:t>
      </w:r>
    </w:p>
    <w:p w:rsidR="00000000" w:rsidDel="00000000" w:rsidP="00000000" w:rsidRDefault="00000000" w:rsidRPr="00000000" w14:paraId="0000002C">
      <w:pPr>
        <w:spacing w:after="240" w:before="240" w:lineRule="auto"/>
        <w:rPr>
          <w:rFonts w:ascii="Roboto Mono Light" w:cs="Roboto Mono Light" w:eastAsia="Roboto Mono Light" w:hAnsi="Roboto Mono Light"/>
          <w:sz w:val="24"/>
          <w:szCs w:val="24"/>
        </w:rPr>
      </w:pPr>
      <w:r w:rsidDel="00000000" w:rsidR="00000000" w:rsidRPr="00000000">
        <w:rPr>
          <w:rFonts w:ascii="Roboto Mono Light" w:cs="Roboto Mono Light" w:eastAsia="Roboto Mono Light" w:hAnsi="Roboto Mono Light"/>
          <w:sz w:val="20"/>
          <w:szCs w:val="20"/>
          <w:rtl w:val="0"/>
        </w:rPr>
        <w:t xml:space="preserve">Results are based on historical NIFTY 50 data, so applicability to other markets may vary. </w:t>
      </w:r>
      <w:r w:rsidDel="00000000" w:rsidR="00000000" w:rsidRPr="00000000">
        <w:rPr>
          <w:rFonts w:ascii="Roboto Mono Light" w:cs="Roboto Mono Light" w:eastAsia="Roboto Mono Light" w:hAnsi="Roboto Mono Light"/>
          <w:sz w:val="20"/>
          <w:szCs w:val="20"/>
          <w:u w:val="single"/>
          <w:rtl w:val="0"/>
        </w:rPr>
        <w:t xml:space="preserve">Transaction costs, slippage, and market anomalies are not accounted for, which may affect real-world performance</w:t>
      </w:r>
      <w:r w:rsidDel="00000000" w:rsidR="00000000" w:rsidRPr="00000000">
        <w:rPr>
          <w:rFonts w:ascii="Roboto Mono Light" w:cs="Roboto Mono Light" w:eastAsia="Roboto Mono Light" w:hAnsi="Roboto Mono Light"/>
          <w:sz w:val="20"/>
          <w:szCs w:val="20"/>
          <w:rtl w:val="0"/>
        </w:rPr>
        <w:t xml:space="preserve">. The time frame for implementing the strategy was changed due to restrictions with yfinance so the data seemed a bit off charts. RSI alone cannot capture all market dynamics, particularly during sideways or low-volatility periods.</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rFonts w:ascii="Roboto Mono Light" w:cs="Roboto Mono Light" w:eastAsia="Roboto Mono Light" w:hAnsi="Roboto Mono Light"/>
          <w:b w:val="1"/>
          <w:color w:val="000000"/>
          <w:sz w:val="24"/>
          <w:szCs w:val="24"/>
        </w:rPr>
      </w:pPr>
      <w:bookmarkStart w:colFirst="0" w:colLast="0" w:name="_e6s2cqj6b08p" w:id="6"/>
      <w:bookmarkEnd w:id="6"/>
      <w:r w:rsidDel="00000000" w:rsidR="00000000" w:rsidRPr="00000000">
        <w:rPr>
          <w:rFonts w:ascii="Roboto Mono Light" w:cs="Roboto Mono Light" w:eastAsia="Roboto Mono Light" w:hAnsi="Roboto Mono Light"/>
          <w:b w:val="1"/>
          <w:color w:val="000000"/>
          <w:sz w:val="24"/>
          <w:szCs w:val="24"/>
          <w:rtl w:val="0"/>
        </w:rPr>
        <w:t xml:space="preserve">7. Overall Detailed Conclusion</w:t>
      </w:r>
    </w:p>
    <w:p w:rsidR="00000000" w:rsidDel="00000000" w:rsidP="00000000" w:rsidRDefault="00000000" w:rsidRPr="00000000" w14:paraId="0000002E">
      <w:pPr>
        <w:spacing w:after="240" w:before="240" w:lineRule="auto"/>
        <w:rPr>
          <w:rFonts w:ascii="Roboto Mono Light" w:cs="Roboto Mono Light" w:eastAsia="Roboto Mono Light" w:hAnsi="Roboto Mono Light"/>
          <w:sz w:val="24"/>
          <w:szCs w:val="24"/>
        </w:rPr>
      </w:pPr>
      <w:r w:rsidDel="00000000" w:rsidR="00000000" w:rsidRPr="00000000">
        <w:rPr>
          <w:rFonts w:ascii="Roboto Mono Light" w:cs="Roboto Mono Light" w:eastAsia="Roboto Mono Light" w:hAnsi="Roboto Mono Light"/>
          <w:sz w:val="20"/>
          <w:szCs w:val="20"/>
          <w:rtl w:val="0"/>
        </w:rPr>
        <w:t xml:space="preserve">Modified RSI thresholds (50-50, 60-40) provide flexible tools for trend identification, balancing responsiveness and risk-taking. Both strategies are comparable in long-term performance, with no clear winner. Traders can choose the strategy based on risk tolerance: aggressive investors may prefer 50-50, while conservative investors may prefer 60-40. RSI is best applied as part of a broader trading framework rather than as a standalone indicator.</w:t>
      </w:r>
      <w:r w:rsidDel="00000000" w:rsidR="00000000" w:rsidRPr="00000000">
        <w:rPr>
          <w:rtl w:val="0"/>
        </w:rPr>
      </w:r>
    </w:p>
    <w:p w:rsidR="00000000" w:rsidDel="00000000" w:rsidP="00000000" w:rsidRDefault="00000000" w:rsidRPr="00000000" w14:paraId="0000002F">
      <w:pPr>
        <w:rPr>
          <w:rFonts w:ascii="Roboto Mono Light" w:cs="Roboto Mono Light" w:eastAsia="Roboto Mono Light" w:hAnsi="Roboto Mono Light"/>
          <w:sz w:val="20"/>
          <w:szCs w:val="20"/>
        </w:rPr>
      </w:pPr>
      <w:r w:rsidDel="00000000" w:rsidR="00000000" w:rsidRPr="00000000">
        <w:rPr>
          <w:rtl w:val="0"/>
        </w:rPr>
      </w:r>
    </w:p>
    <w:sectPr>
      <w:pgSz w:h="15840" w:w="12240" w:orient="portrait"/>
      <w:pgMar w:bottom="1440" w:top="0" w:left="63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