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BB5F5C">
      <w:pPr>
        <w:spacing w:before="0" w:after="0" w:line="400" w:lineRule="exact"/>
        <w:jc w:val="center"/>
        <w:rPr>
          <w:rFonts w:ascii="宋体" w:hAnsi="宋体" w:eastAsia="宋体"/>
          <w:b/>
          <w:bCs/>
          <w:sz w:val="32"/>
          <w:szCs w:val="32"/>
        </w:rPr>
      </w:pPr>
      <w:r>
        <w:rPr>
          <w:rFonts w:ascii="宋体" w:hAnsi="宋体" w:eastAsia="宋体"/>
          <w:b/>
          <w:bCs/>
          <w:sz w:val="32"/>
          <w:szCs w:val="32"/>
        </w:rPr>
        <w:t>一种多组分空气差分检测与分级净化装置</w:t>
      </w:r>
    </w:p>
    <w:p w14:paraId="15CB2D46">
      <w:pPr>
        <w:spacing w:line="400" w:lineRule="exact"/>
      </w:pPr>
    </w:p>
    <w:p w14:paraId="5580A1B7">
      <w:pPr>
        <w:spacing w:before="200" w:after="100" w:line="400" w:lineRule="exact"/>
        <w:rPr>
          <w:rFonts w:ascii="宋体" w:hAnsi="宋体" w:eastAsia="宋体"/>
          <w:b/>
          <w:bCs/>
          <w:sz w:val="28"/>
          <w:szCs w:val="28"/>
        </w:rPr>
      </w:pPr>
      <w:r>
        <w:rPr>
          <w:rFonts w:ascii="宋体" w:hAnsi="宋体" w:eastAsia="宋体"/>
          <w:b/>
          <w:bCs/>
          <w:sz w:val="28"/>
          <w:szCs w:val="28"/>
        </w:rPr>
        <w:t>技术领域</w:t>
      </w:r>
    </w:p>
    <w:p w14:paraId="568AE17B">
      <w:pPr>
        <w:spacing w:line="400" w:lineRule="exact"/>
        <w:ind w:firstLine="480"/>
        <w:rPr>
          <w:rFonts w:ascii="宋体" w:hAnsi="宋体" w:eastAsia="宋体"/>
          <w:sz w:val="24"/>
          <w:szCs w:val="24"/>
        </w:rPr>
      </w:pPr>
      <w:r>
        <w:rPr>
          <w:rFonts w:ascii="宋体" w:hAnsi="宋体" w:eastAsia="宋体"/>
          <w:sz w:val="24"/>
          <w:szCs w:val="24"/>
        </w:rPr>
        <w:t>本发明属于空气质量监测与空气净化技术领域，具体涉及一种多组分空气差分检测与分级净化装置。</w:t>
      </w:r>
    </w:p>
    <w:p w14:paraId="292068D4">
      <w:pPr>
        <w:spacing w:before="200" w:after="100" w:line="400" w:lineRule="exact"/>
        <w:rPr>
          <w:rFonts w:ascii="宋体" w:hAnsi="宋体" w:eastAsia="宋体"/>
          <w:b/>
          <w:bCs/>
          <w:sz w:val="28"/>
          <w:szCs w:val="28"/>
        </w:rPr>
      </w:pPr>
      <w:r>
        <w:rPr>
          <w:rFonts w:ascii="宋体" w:hAnsi="宋体" w:eastAsia="宋体"/>
          <w:b/>
          <w:bCs/>
          <w:sz w:val="28"/>
          <w:szCs w:val="28"/>
        </w:rPr>
        <w:t>背景技术</w:t>
      </w:r>
    </w:p>
    <w:p w14:paraId="4AF7F555">
      <w:pPr>
        <w:spacing w:line="400" w:lineRule="exact"/>
        <w:ind w:firstLine="480"/>
        <w:rPr>
          <w:rFonts w:ascii="宋体" w:hAnsi="宋体" w:eastAsia="宋体"/>
          <w:sz w:val="24"/>
          <w:szCs w:val="24"/>
        </w:rPr>
      </w:pPr>
      <w:r>
        <w:rPr>
          <w:rFonts w:ascii="宋体" w:hAnsi="宋体" w:eastAsia="宋体"/>
          <w:sz w:val="24"/>
          <w:szCs w:val="24"/>
        </w:rPr>
        <w:t>随着现代工业发展与室内环境复杂化，空气中的污染物呈现多源化、复合化特征，主要包括悬浮细颗粒物（PM2.5）、酸性有害气体（如二氧化硫 SO</w:t>
      </w:r>
      <w:r>
        <w:rPr>
          <w:rFonts w:ascii="宋体" w:hAnsi="宋体" w:eastAsia="宋体"/>
          <w:sz w:val="24"/>
          <w:szCs w:val="24"/>
          <w:vertAlign w:val="subscript"/>
        </w:rPr>
        <w:t>2</w:t>
      </w:r>
      <w:r>
        <w:rPr>
          <w:rFonts w:ascii="宋体" w:hAnsi="宋体" w:eastAsia="宋体"/>
          <w:sz w:val="24"/>
          <w:szCs w:val="24"/>
        </w:rPr>
        <w:t>）以及极具致命危险的还原性有毒气体（如一氧化碳 CO）。</w:t>
      </w:r>
    </w:p>
    <w:p w14:paraId="66A4A17E">
      <w:pPr>
        <w:spacing w:line="400" w:lineRule="exact"/>
        <w:ind w:firstLine="480"/>
        <w:rPr>
          <w:rFonts w:ascii="宋体" w:hAnsi="宋体" w:eastAsia="宋体"/>
          <w:sz w:val="24"/>
          <w:szCs w:val="24"/>
        </w:rPr>
      </w:pPr>
      <w:r>
        <w:rPr>
          <w:rFonts w:ascii="宋体" w:hAnsi="宋体" w:eastAsia="宋体"/>
          <w:sz w:val="24"/>
          <w:szCs w:val="24"/>
        </w:rPr>
        <w:t>现有的便携式或小型空气净化装置通常存在以下缺陷：</w:t>
      </w:r>
    </w:p>
    <w:p w14:paraId="6D01AF40">
      <w:pPr>
        <w:spacing w:line="400" w:lineRule="exact"/>
        <w:ind w:firstLine="480"/>
        <w:rPr>
          <w:rFonts w:ascii="宋体" w:hAnsi="宋体" w:eastAsia="宋体"/>
          <w:sz w:val="24"/>
          <w:szCs w:val="24"/>
        </w:rPr>
      </w:pPr>
      <w:r>
        <w:rPr>
          <w:rFonts w:ascii="宋体" w:hAnsi="宋体" w:eastAsia="宋体"/>
          <w:sz w:val="24"/>
          <w:szCs w:val="24"/>
        </w:rPr>
        <w:t>净化机理单一：多数净化器仅依靠单一的 HEPA 滤网或被动活性炭吸附，对于微量剧毒的一氧化碳无法实现高效常温分解，对酸性气体的吸附容量有限且易发生饱和脱附二次污染；</w:t>
      </w:r>
    </w:p>
    <w:p w14:paraId="702C7634">
      <w:pPr>
        <w:spacing w:line="400" w:lineRule="exact"/>
        <w:ind w:firstLine="480"/>
        <w:rPr>
          <w:rFonts w:ascii="宋体" w:hAnsi="宋体" w:eastAsia="宋体"/>
          <w:sz w:val="24"/>
          <w:szCs w:val="24"/>
        </w:rPr>
      </w:pPr>
      <w:r>
        <w:rPr>
          <w:rFonts w:ascii="宋体" w:hAnsi="宋体" w:eastAsia="宋体"/>
          <w:sz w:val="24"/>
          <w:szCs w:val="24"/>
        </w:rPr>
        <w:t>缺乏闭环效能评估：传统设备大多仅在进风口或机身外壳表面设置单一检测传感器，无法实时监测出风口空气质量，无法客观评估装置自身的实时净化效能，导致滤芯与反应试剂失效时无法精准预警；</w:t>
      </w:r>
    </w:p>
    <w:p w14:paraId="625F5F91">
      <w:pPr>
        <w:spacing w:line="400" w:lineRule="exact"/>
        <w:ind w:firstLine="480"/>
        <w:rPr>
          <w:rFonts w:ascii="宋体" w:hAnsi="宋体" w:eastAsia="宋体"/>
          <w:sz w:val="24"/>
          <w:szCs w:val="24"/>
        </w:rPr>
      </w:pPr>
      <w:r>
        <w:rPr>
          <w:rFonts w:ascii="宋体" w:hAnsi="宋体" w:eastAsia="宋体"/>
          <w:sz w:val="24"/>
          <w:szCs w:val="24"/>
        </w:rPr>
        <w:t>控制策略滞后：现有设备多采用固定的稳态阈值判断，在室内突发高浓度污染（如燃气泄漏、短时间大量烟雾产生）时响应迟缓，无法在浓度激增初期及时发出前置安全预警。</w:t>
      </w:r>
    </w:p>
    <w:p w14:paraId="4D71DDDF">
      <w:pPr>
        <w:spacing w:before="200" w:after="100" w:line="400" w:lineRule="exact"/>
        <w:rPr>
          <w:rFonts w:ascii="宋体" w:hAnsi="宋体" w:eastAsia="宋体"/>
          <w:b/>
          <w:bCs/>
          <w:sz w:val="28"/>
          <w:szCs w:val="28"/>
        </w:rPr>
      </w:pPr>
      <w:r>
        <w:rPr>
          <w:rFonts w:ascii="宋体" w:hAnsi="宋体" w:eastAsia="宋体"/>
          <w:b/>
          <w:bCs/>
          <w:sz w:val="28"/>
          <w:szCs w:val="28"/>
        </w:rPr>
        <w:t>发明内容</w:t>
      </w:r>
    </w:p>
    <w:p w14:paraId="2DA9B384">
      <w:pPr>
        <w:spacing w:line="400" w:lineRule="exact"/>
        <w:ind w:firstLine="480"/>
        <w:rPr>
          <w:rFonts w:ascii="宋体" w:hAnsi="宋体" w:eastAsia="宋体"/>
          <w:sz w:val="24"/>
          <w:szCs w:val="24"/>
        </w:rPr>
      </w:pPr>
      <w:r>
        <w:rPr>
          <w:rFonts w:ascii="宋体" w:hAnsi="宋体" w:eastAsia="宋体"/>
          <w:sz w:val="24"/>
          <w:szCs w:val="24"/>
        </w:rPr>
        <w:t>为了克服现有技术的不足，本发明提供了一种多组分空气差分检测与分级净化装置，能够对颗粒物、酸性气体及一氧化碳实现分级、定向高效净化，并能实时比对净化前后浓度以评估净化效能及快速预警。</w:t>
      </w:r>
    </w:p>
    <w:p w14:paraId="0A8CA8F3">
      <w:pPr>
        <w:spacing w:line="400" w:lineRule="exact"/>
        <w:ind w:firstLine="480"/>
        <w:rPr>
          <w:rFonts w:ascii="宋体" w:hAnsi="宋体" w:eastAsia="宋体"/>
          <w:sz w:val="24"/>
          <w:szCs w:val="24"/>
        </w:rPr>
      </w:pPr>
      <w:r>
        <w:rPr>
          <w:rFonts w:ascii="宋体" w:hAnsi="宋体" w:eastAsia="宋体"/>
          <w:sz w:val="24"/>
          <w:szCs w:val="24"/>
        </w:rPr>
        <w:t>本发明采用的技术方案如下：</w:t>
      </w:r>
    </w:p>
    <w:p w14:paraId="53CB0084">
      <w:pPr>
        <w:spacing w:line="400" w:lineRule="exact"/>
        <w:ind w:firstLine="480"/>
        <w:rPr>
          <w:rFonts w:ascii="宋体" w:hAnsi="宋体" w:eastAsia="宋体"/>
          <w:sz w:val="24"/>
          <w:szCs w:val="24"/>
        </w:rPr>
      </w:pPr>
      <w:r>
        <w:rPr>
          <w:rFonts w:ascii="宋体" w:hAnsi="宋体" w:eastAsia="宋体"/>
          <w:sz w:val="24"/>
          <w:szCs w:val="24"/>
        </w:rPr>
        <w:t>一种多组分空气差分检测与分级净化装置，包括检测箱（1）以及设置于所述检测箱（1）下方的底座（2），所述检测箱（1）的侧壁分别贯穿开设有进气通道（3）与出气通道（6），所述检测箱（1）内部限定有连通所述进气通道（3）与出气通道（6）的S型折流道（13）；</w:t>
      </w:r>
    </w:p>
    <w:p w14:paraId="0689B9A2">
      <w:pPr>
        <w:spacing w:line="400" w:lineRule="exact"/>
        <w:ind w:firstLine="480"/>
        <w:rPr>
          <w:rFonts w:ascii="宋体" w:hAnsi="宋体" w:eastAsia="宋体"/>
          <w:sz w:val="24"/>
          <w:szCs w:val="24"/>
        </w:rPr>
      </w:pPr>
      <w:r>
        <w:rPr>
          <w:rFonts w:ascii="宋体" w:hAnsi="宋体" w:eastAsia="宋体"/>
          <w:sz w:val="24"/>
          <w:szCs w:val="24"/>
        </w:rPr>
        <w:t>所述S型折流道（13）从进气通道（3）至出气通道（6）沿气流流动方向依次布设有进气风扇（10）、</w:t>
      </w:r>
      <w:r>
        <w:rPr>
          <w:rFonts w:hint="eastAsia"/>
          <w:sz w:val="24"/>
          <w:szCs w:val="24"/>
          <w:lang w:eastAsia="zh-CN"/>
        </w:rPr>
        <w:t>可调式特斯拉限速阀</w:t>
      </w:r>
      <w:r>
        <w:rPr>
          <w:rFonts w:ascii="宋体" w:hAnsi="宋体" w:eastAsia="宋体"/>
          <w:sz w:val="24"/>
          <w:szCs w:val="24"/>
        </w:rPr>
        <w:t>（19）、前置检测仓（11）、高温催化反应单元（16）、碱性化学吸附单元（17）以及后置检测仓（18）；</w:t>
      </w:r>
    </w:p>
    <w:p w14:paraId="56429AD9">
      <w:pPr>
        <w:spacing w:line="400" w:lineRule="exact"/>
        <w:ind w:firstLine="480"/>
        <w:rPr>
          <w:rFonts w:ascii="宋体" w:hAnsi="宋体" w:eastAsia="宋体"/>
          <w:sz w:val="24"/>
          <w:szCs w:val="24"/>
        </w:rPr>
      </w:pPr>
      <w:r>
        <w:rPr>
          <w:rFonts w:ascii="宋体" w:hAnsi="宋体" w:eastAsia="宋体"/>
          <w:sz w:val="24"/>
          <w:szCs w:val="24"/>
        </w:rPr>
        <w:t>所述</w:t>
      </w:r>
      <w:r>
        <w:rPr>
          <w:rFonts w:hint="eastAsia"/>
          <w:sz w:val="24"/>
          <w:szCs w:val="24"/>
          <w:lang w:eastAsia="zh-CN"/>
        </w:rPr>
        <w:t>可调式特斯拉限速阀</w:t>
      </w:r>
      <w:r>
        <w:rPr>
          <w:rFonts w:ascii="宋体" w:hAnsi="宋体" w:eastAsia="宋体"/>
          <w:sz w:val="24"/>
          <w:szCs w:val="24"/>
        </w:rPr>
        <w:t>（19）包括通过流道转轴（192）铰接的上下可变管壁，并且在所述</w:t>
      </w:r>
      <w:r>
        <w:rPr>
          <w:rFonts w:hint="eastAsia"/>
          <w:sz w:val="24"/>
          <w:szCs w:val="24"/>
          <w:lang w:eastAsia="zh-CN"/>
        </w:rPr>
        <w:t>可调式特斯拉限速阀</w:t>
      </w:r>
      <w:r>
        <w:rPr>
          <w:rFonts w:ascii="宋体" w:hAnsi="宋体" w:eastAsia="宋体"/>
          <w:sz w:val="24"/>
          <w:szCs w:val="24"/>
        </w:rPr>
        <w:t>（19）内部的分支岔口处设置有可变挡板（191）。</w:t>
      </w:r>
    </w:p>
    <w:p w14:paraId="5E654D76">
      <w:pPr>
        <w:spacing w:line="400" w:lineRule="exact"/>
        <w:ind w:firstLine="480"/>
        <w:rPr>
          <w:rFonts w:ascii="宋体" w:hAnsi="宋体" w:eastAsia="宋体"/>
          <w:sz w:val="24"/>
          <w:szCs w:val="24"/>
        </w:rPr>
      </w:pPr>
      <w:r>
        <w:rPr>
          <w:rFonts w:ascii="宋体" w:hAnsi="宋体" w:eastAsia="宋体"/>
          <w:sz w:val="24"/>
          <w:szCs w:val="24"/>
        </w:rPr>
        <w:t>所述前置检测仓（11）与后置检测仓（18）内部均装设有检测单元（12），所述检测单元（12）包括基板（121）以及集成设置于基板（121）上的PM2.5激光散射传感器（122）、二氧化硫电化学传感器（123）和一氧化碳传感器（124）；</w:t>
      </w:r>
    </w:p>
    <w:p w14:paraId="0A945DDB">
      <w:pPr>
        <w:spacing w:line="400" w:lineRule="exact"/>
        <w:ind w:firstLine="480"/>
        <w:rPr>
          <w:rFonts w:ascii="宋体" w:hAnsi="宋体" w:eastAsia="宋体"/>
          <w:sz w:val="24"/>
          <w:szCs w:val="24"/>
        </w:rPr>
      </w:pPr>
      <w:r>
        <w:rPr>
          <w:rFonts w:ascii="宋体" w:hAnsi="宋体" w:eastAsia="宋体"/>
          <w:sz w:val="24"/>
          <w:szCs w:val="24"/>
        </w:rPr>
        <w:t>所述高温催化反应单元（16）包括耐高温</w:t>
      </w:r>
      <w:r>
        <w:rPr>
          <w:rFonts w:hint="eastAsia"/>
          <w:sz w:val="24"/>
          <w:szCs w:val="24"/>
          <w:lang w:val="en-US" w:eastAsia="zh-CN"/>
        </w:rPr>
        <w:t>加热</w:t>
      </w:r>
      <w:r>
        <w:rPr>
          <w:rFonts w:ascii="宋体" w:hAnsi="宋体" w:eastAsia="宋体"/>
          <w:sz w:val="24"/>
          <w:szCs w:val="24"/>
        </w:rPr>
        <w:t>腔体（161）、横向嵌设于耐高温</w:t>
      </w:r>
      <w:r>
        <w:rPr>
          <w:rFonts w:hint="eastAsia"/>
          <w:sz w:val="24"/>
          <w:szCs w:val="24"/>
          <w:lang w:val="en-US" w:eastAsia="zh-CN"/>
        </w:rPr>
        <w:t>加热</w:t>
      </w:r>
      <w:r>
        <w:rPr>
          <w:rFonts w:ascii="宋体" w:hAnsi="宋体" w:eastAsia="宋体"/>
          <w:sz w:val="24"/>
          <w:szCs w:val="24"/>
        </w:rPr>
        <w:t>腔体（161）内的ACO-2催化剂滤芯（162）、设于</w:t>
      </w:r>
      <w:r>
        <w:rPr>
          <w:rFonts w:hint="eastAsia"/>
          <w:sz w:val="24"/>
          <w:szCs w:val="24"/>
          <w:lang w:eastAsia="zh-CN"/>
        </w:rPr>
        <w:t>耐高温加热腔体</w:t>
      </w:r>
      <w:r>
        <w:rPr>
          <w:rFonts w:ascii="宋体" w:hAnsi="宋体" w:eastAsia="宋体"/>
          <w:sz w:val="24"/>
          <w:szCs w:val="24"/>
        </w:rPr>
        <w:t>（161）内部上方的雾化喷管（163）、装设于</w:t>
      </w:r>
      <w:r>
        <w:rPr>
          <w:rFonts w:hint="eastAsia"/>
          <w:sz w:val="24"/>
          <w:szCs w:val="24"/>
          <w:lang w:eastAsia="zh-CN"/>
        </w:rPr>
        <w:t>耐高温加热腔体</w:t>
      </w:r>
      <w:r>
        <w:rPr>
          <w:rFonts w:ascii="宋体" w:hAnsi="宋体" w:eastAsia="宋体"/>
          <w:sz w:val="24"/>
          <w:szCs w:val="24"/>
        </w:rPr>
        <w:t>（161）外侧的储液储罐（164）以及与雾化喷管（163）和储液储罐（164）连通的微型泵（166），所述储液储罐（164）顶部连接有穿出检测箱（1）顶部的过氧化氢补充管（5）；</w:t>
      </w:r>
    </w:p>
    <w:p w14:paraId="2EEFED50">
      <w:pPr>
        <w:spacing w:line="400" w:lineRule="exact"/>
        <w:ind w:firstLine="480"/>
        <w:rPr>
          <w:rFonts w:ascii="宋体" w:hAnsi="宋体" w:eastAsia="宋体"/>
          <w:sz w:val="24"/>
          <w:szCs w:val="24"/>
        </w:rPr>
      </w:pPr>
      <w:r>
        <w:rPr>
          <w:rFonts w:ascii="宋体" w:hAnsi="宋体" w:eastAsia="宋体"/>
          <w:sz w:val="24"/>
          <w:szCs w:val="24"/>
        </w:rPr>
        <w:t>所述碱性化学吸附单元（17）包括吸附腔（171）以及插接于吸附腔（171）内的氢氧化钠改性活性炭多孔颗粒滤芯（172）；</w:t>
      </w:r>
    </w:p>
    <w:p w14:paraId="26CE0E58">
      <w:pPr>
        <w:spacing w:line="400" w:lineRule="exact"/>
        <w:ind w:firstLine="480"/>
        <w:rPr>
          <w:rFonts w:ascii="宋体" w:hAnsi="宋体" w:eastAsia="宋体"/>
          <w:sz w:val="24"/>
          <w:szCs w:val="24"/>
        </w:rPr>
      </w:pPr>
      <w:r>
        <w:rPr>
          <w:rFonts w:ascii="宋体" w:hAnsi="宋体" w:eastAsia="宋体"/>
          <w:sz w:val="24"/>
          <w:szCs w:val="24"/>
        </w:rPr>
        <w:t>所述底座（2）内部装设有主控电路板（14）与蓄电池（15），所述进气风扇（10）、检测单元（12）、微型泵（166）、蓄电池（15）均与主控电路板（14）电连接。</w:t>
      </w:r>
    </w:p>
    <w:p w14:paraId="70F0FB21">
      <w:pPr>
        <w:spacing w:line="400" w:lineRule="exact"/>
        <w:ind w:firstLine="480"/>
        <w:rPr>
          <w:rFonts w:ascii="宋体" w:hAnsi="宋体" w:eastAsia="宋体"/>
          <w:sz w:val="24"/>
          <w:szCs w:val="24"/>
        </w:rPr>
      </w:pPr>
      <w:r>
        <w:rPr>
          <w:rFonts w:ascii="宋体" w:hAnsi="宋体" w:eastAsia="宋体"/>
          <w:sz w:val="24"/>
          <w:szCs w:val="24"/>
        </w:rPr>
        <w:t>进一步地，所述检测箱（1）顶部装设有与主控电路板（14）电连接的蜂鸣器（4），所述底座（2）的前面板上装设有显示屏（7）、LED指示灯（8）以及充电接口（9），所述显示屏（7）与LED指示灯（8）均与主控电路板（14）电连接，所述充电接口（9）与蓄电池（15）电连接。</w:t>
      </w:r>
    </w:p>
    <w:p w14:paraId="6BCFF1D7">
      <w:pPr>
        <w:spacing w:line="400" w:lineRule="exact"/>
        <w:ind w:firstLine="480"/>
        <w:rPr>
          <w:rFonts w:ascii="宋体" w:hAnsi="宋体" w:eastAsia="宋体"/>
          <w:sz w:val="24"/>
          <w:szCs w:val="24"/>
        </w:rPr>
      </w:pPr>
      <w:r>
        <w:rPr>
          <w:rFonts w:ascii="宋体" w:hAnsi="宋体" w:eastAsia="宋体"/>
          <w:sz w:val="24"/>
          <w:szCs w:val="24"/>
        </w:rPr>
        <w:t>进一步地，当所述前置检测仓（11）内的一氧化碳传感器（124）检测数值超出报警净化阈值时，所述主控电路板（14）控制蜂鸣器（4）与LED指示灯（8）发出报警信号，启动进气风扇（10）与微型泵（166），并通过后置检测仓（18）内的一氧化碳传感器（124）检测排气浓度并经由显示屏（7）输出。</w:t>
      </w:r>
    </w:p>
    <w:p w14:paraId="52DE4C29">
      <w:pPr>
        <w:spacing w:line="400" w:lineRule="exact"/>
        <w:ind w:firstLine="480"/>
        <w:rPr>
          <w:rFonts w:ascii="宋体" w:hAnsi="宋体" w:eastAsia="宋体"/>
          <w:sz w:val="24"/>
          <w:szCs w:val="24"/>
        </w:rPr>
      </w:pPr>
      <w:r>
        <w:rPr>
          <w:rFonts w:ascii="宋体" w:hAnsi="宋体" w:eastAsia="宋体"/>
          <w:sz w:val="24"/>
          <w:szCs w:val="24"/>
        </w:rPr>
        <w:t>进一步地，当所述前置检测仓（11）内的PM2.5激光散射传感器（122）或二氧化硫电化学传感器（123）检测数值超出报警净化阈值时，所述主控电路板（14）控制蜂鸣器（4）与LED指示灯（8）发出报警信号，启动进气风扇（10），并通过后置检测仓（18）内的PM2.5激光散射传感器（122）和二氧化硫电化学传感器（123）检测排气浓度并经由显示屏（7）输出。</w:t>
      </w:r>
    </w:p>
    <w:p w14:paraId="0BDD5F80">
      <w:pPr>
        <w:spacing w:line="400" w:lineRule="exact"/>
        <w:ind w:firstLine="480"/>
        <w:rPr>
          <w:rFonts w:ascii="宋体" w:hAnsi="宋体" w:eastAsia="宋体"/>
          <w:sz w:val="24"/>
          <w:szCs w:val="24"/>
        </w:rPr>
      </w:pPr>
      <w:r>
        <w:rPr>
          <w:rFonts w:ascii="宋体" w:hAnsi="宋体" w:eastAsia="宋体"/>
          <w:sz w:val="24"/>
          <w:szCs w:val="24"/>
        </w:rPr>
        <w:t>进一步地，所述主控电路板（14）以固定采样周期计算各污染物的浓度上升速率；当预设时间窗口内任一组分的浓度上升速率超出突增速率阈值且即时浓度达到警告阈值时，所述主控电路板（14）提前控制蜂鸣器（4）发出预警信号。</w:t>
      </w:r>
    </w:p>
    <w:p w14:paraId="0303B71A">
      <w:pPr>
        <w:spacing w:line="400" w:lineRule="exact"/>
        <w:ind w:firstLine="480"/>
        <w:rPr>
          <w:rFonts w:ascii="宋体" w:hAnsi="宋体" w:eastAsia="宋体"/>
          <w:sz w:val="24"/>
          <w:szCs w:val="24"/>
        </w:rPr>
      </w:pPr>
      <w:r>
        <w:rPr>
          <w:rFonts w:ascii="宋体" w:hAnsi="宋体" w:eastAsia="宋体"/>
          <w:sz w:val="24"/>
          <w:szCs w:val="24"/>
        </w:rPr>
        <w:t>进一步地，所述储液储罐（164）内部装设有与主控电路板（14）电连接的液位传感器（165）。</w:t>
      </w:r>
    </w:p>
    <w:p w14:paraId="7B0D8BEF">
      <w:pPr>
        <w:spacing w:line="400" w:lineRule="exact"/>
        <w:ind w:firstLine="480"/>
        <w:rPr>
          <w:rFonts w:ascii="宋体" w:hAnsi="宋体" w:eastAsia="宋体"/>
          <w:sz w:val="24"/>
          <w:szCs w:val="24"/>
        </w:rPr>
      </w:pPr>
      <w:r>
        <w:rPr>
          <w:rFonts w:ascii="宋体" w:hAnsi="宋体" w:eastAsia="宋体"/>
          <w:sz w:val="24"/>
          <w:szCs w:val="24"/>
        </w:rPr>
        <w:t>进一步地，所述氢氧化钠改性活性炭多孔颗粒滤芯（172）沿吸附腔（171）竖直方向间隔设有若干层，且各层氢氧化钠改性活性炭多孔颗粒滤芯（172）均通过抽屉式滑轨密封插接于吸附腔（171）内。</w:t>
      </w:r>
    </w:p>
    <w:p w14:paraId="7CD41868">
      <w:pPr>
        <w:spacing w:line="400" w:lineRule="exact"/>
        <w:ind w:firstLine="480"/>
        <w:rPr>
          <w:rFonts w:ascii="宋体" w:hAnsi="宋体" w:eastAsia="宋体"/>
          <w:sz w:val="24"/>
          <w:szCs w:val="24"/>
        </w:rPr>
      </w:pPr>
      <w:r>
        <w:rPr>
          <w:rFonts w:ascii="宋体" w:hAnsi="宋体" w:eastAsia="宋体"/>
          <w:sz w:val="24"/>
          <w:szCs w:val="24"/>
        </w:rPr>
        <w:t>本发明的有益效果在于：</w:t>
      </w:r>
    </w:p>
    <w:p w14:paraId="3573EE6C">
      <w:pPr>
        <w:spacing w:line="400" w:lineRule="exact"/>
        <w:ind w:firstLine="480"/>
        <w:rPr>
          <w:rFonts w:ascii="宋体" w:hAnsi="宋体" w:eastAsia="宋体"/>
          <w:sz w:val="24"/>
          <w:szCs w:val="24"/>
        </w:rPr>
      </w:pPr>
      <w:r>
        <w:rPr>
          <w:rFonts w:ascii="宋体" w:hAnsi="宋体" w:eastAsia="宋体"/>
          <w:sz w:val="24"/>
          <w:szCs w:val="24"/>
        </w:rPr>
        <w:t>多级靶向净化：通过"高温催化氧化（分解 CO）+ 碱性化学中和与吸附（去除 SO</w:t>
      </w:r>
      <w:r>
        <w:rPr>
          <w:rFonts w:ascii="宋体" w:hAnsi="宋体" w:eastAsia="宋体"/>
          <w:sz w:val="24"/>
          <w:szCs w:val="24"/>
          <w:vertAlign w:val="subscript"/>
        </w:rPr>
        <w:t>2</w:t>
      </w:r>
      <w:r>
        <w:rPr>
          <w:rFonts w:ascii="宋体" w:hAnsi="宋体" w:eastAsia="宋体"/>
          <w:sz w:val="24"/>
          <w:szCs w:val="24"/>
        </w:rPr>
        <w:t xml:space="preserve"> 及颗粒物）"的双重反应路径，针对不同性质的污染物实现专室专用、高效清除；</w:t>
      </w:r>
    </w:p>
    <w:p w14:paraId="26A71B2E">
      <w:pPr>
        <w:spacing w:line="400" w:lineRule="exact"/>
        <w:ind w:firstLine="480"/>
        <w:rPr>
          <w:rFonts w:ascii="宋体" w:hAnsi="宋体" w:eastAsia="宋体"/>
          <w:sz w:val="24"/>
          <w:szCs w:val="24"/>
        </w:rPr>
      </w:pPr>
      <w:r>
        <w:rPr>
          <w:rFonts w:ascii="宋体" w:hAnsi="宋体" w:eastAsia="宋体"/>
          <w:sz w:val="24"/>
          <w:szCs w:val="24"/>
        </w:rPr>
        <w:t>差分闭环效能监测：前后两组检测仓形成了差分</w:t>
      </w:r>
      <w:r>
        <w:rPr>
          <w:rFonts w:hint="eastAsia"/>
          <w:sz w:val="24"/>
          <w:szCs w:val="24"/>
          <w:lang w:val="en-US" w:eastAsia="zh-CN"/>
        </w:rPr>
        <w:t>比对</w:t>
      </w:r>
      <w:r>
        <w:rPr>
          <w:rFonts w:ascii="宋体" w:hAnsi="宋体" w:eastAsia="宋体"/>
          <w:sz w:val="24"/>
          <w:szCs w:val="24"/>
        </w:rPr>
        <w:t>系统，可直观输出净化后排气浓度并实时监测滤芯与试剂的消耗寿命；</w:t>
      </w:r>
    </w:p>
    <w:p w14:paraId="0851F879">
      <w:pPr>
        <w:spacing w:line="400" w:lineRule="exact"/>
        <w:ind w:firstLine="480"/>
        <w:rPr>
          <w:rFonts w:ascii="宋体" w:hAnsi="宋体" w:eastAsia="宋体"/>
          <w:sz w:val="24"/>
          <w:szCs w:val="24"/>
        </w:rPr>
      </w:pPr>
      <w:r>
        <w:rPr>
          <w:rFonts w:ascii="宋体" w:hAnsi="宋体" w:eastAsia="宋体"/>
          <w:sz w:val="24"/>
          <w:szCs w:val="24"/>
        </w:rPr>
        <w:t>结构集成与快拆维护：反应腔体与吸附滤芯采用抽屉式滑轨及管道连通布局，便于独立更换耗材，搭配底部独立电路与供电仓，抗干扰能力强；</w:t>
      </w:r>
    </w:p>
    <w:p w14:paraId="3144E090">
      <w:pPr>
        <w:spacing w:line="400" w:lineRule="exact"/>
        <w:ind w:firstLine="480"/>
        <w:rPr>
          <w:rFonts w:ascii="宋体" w:hAnsi="宋体" w:eastAsia="宋体"/>
          <w:sz w:val="24"/>
          <w:szCs w:val="24"/>
        </w:rPr>
      </w:pPr>
      <w:r>
        <w:rPr>
          <w:rFonts w:ascii="宋体" w:hAnsi="宋体" w:eastAsia="宋体"/>
          <w:sz w:val="24"/>
          <w:szCs w:val="24"/>
        </w:rPr>
        <w:t>动态突增快速响应与自适应调速：通过浓度微分斜率实现突发污染前置预警；利用</w:t>
      </w:r>
      <w:r>
        <w:rPr>
          <w:rFonts w:hint="eastAsia"/>
          <w:sz w:val="24"/>
          <w:szCs w:val="24"/>
          <w:lang w:eastAsia="zh-CN"/>
        </w:rPr>
        <w:t>可调式特斯拉限速阀</w:t>
      </w:r>
      <w:r>
        <w:rPr>
          <w:rFonts w:ascii="宋体" w:hAnsi="宋体" w:eastAsia="宋体"/>
          <w:sz w:val="24"/>
          <w:szCs w:val="24"/>
        </w:rPr>
        <w:t>动态改变横截面积与挡板流阻，在不减少总流量的前提下实现气流驻留时间的自适应延长，大幅提升了对极端危险工况的响应敏捷度与净化深度。</w:t>
      </w:r>
    </w:p>
    <w:p w14:paraId="4EF3013B">
      <w:pPr>
        <w:spacing w:before="200" w:after="100" w:line="400" w:lineRule="exact"/>
        <w:rPr>
          <w:rFonts w:ascii="宋体" w:hAnsi="宋体" w:eastAsia="宋体"/>
          <w:b/>
          <w:bCs/>
          <w:sz w:val="28"/>
          <w:szCs w:val="28"/>
        </w:rPr>
      </w:pPr>
      <w:r>
        <w:rPr>
          <w:rFonts w:ascii="宋体" w:hAnsi="宋体" w:eastAsia="宋体"/>
          <w:b/>
          <w:bCs/>
          <w:sz w:val="28"/>
          <w:szCs w:val="28"/>
        </w:rPr>
        <w:t>附图说明</w:t>
      </w:r>
    </w:p>
    <w:p w14:paraId="3820EB98">
      <w:pPr>
        <w:spacing w:line="400" w:lineRule="exact"/>
        <w:ind w:firstLine="480"/>
        <w:rPr>
          <w:rFonts w:ascii="宋体" w:hAnsi="宋体" w:eastAsia="宋体"/>
          <w:sz w:val="24"/>
          <w:szCs w:val="24"/>
        </w:rPr>
      </w:pPr>
      <w:r>
        <w:rPr>
          <w:rFonts w:ascii="宋体" w:hAnsi="宋体" w:eastAsia="宋体"/>
          <w:sz w:val="24"/>
          <w:szCs w:val="24"/>
        </w:rPr>
        <w:t>图1 为本发明实施例的整体外部立体结构示意图。</w:t>
      </w:r>
    </w:p>
    <w:p w14:paraId="27A99F03">
      <w:pPr>
        <w:spacing w:line="400" w:lineRule="exact"/>
        <w:ind w:firstLine="480"/>
        <w:rPr>
          <w:rFonts w:ascii="宋体" w:hAnsi="宋体" w:eastAsia="宋体"/>
          <w:sz w:val="24"/>
          <w:szCs w:val="24"/>
        </w:rPr>
      </w:pPr>
      <w:r>
        <w:rPr>
          <w:rFonts w:ascii="宋体" w:hAnsi="宋体" w:eastAsia="宋体"/>
          <w:sz w:val="24"/>
          <w:szCs w:val="24"/>
        </w:rPr>
        <w:t>图2 为本发明实施例的内部结构剖面及流道示意图。</w:t>
      </w:r>
    </w:p>
    <w:p w14:paraId="01E6E248">
      <w:pPr>
        <w:spacing w:line="400" w:lineRule="exact"/>
        <w:ind w:firstLine="480"/>
        <w:rPr>
          <w:rFonts w:ascii="宋体" w:hAnsi="宋体" w:eastAsia="宋体"/>
          <w:sz w:val="24"/>
          <w:szCs w:val="24"/>
        </w:rPr>
      </w:pPr>
      <w:r>
        <w:rPr>
          <w:rFonts w:ascii="宋体" w:hAnsi="宋体" w:eastAsia="宋体"/>
          <w:sz w:val="24"/>
          <w:szCs w:val="24"/>
        </w:rPr>
        <w:t>图3 为本发明实施例中高温催化反应单元的立体结构示意图。</w:t>
      </w:r>
    </w:p>
    <w:p w14:paraId="731F9E12">
      <w:pPr>
        <w:spacing w:line="400" w:lineRule="exact"/>
        <w:ind w:firstLine="480"/>
        <w:rPr>
          <w:rFonts w:ascii="宋体" w:hAnsi="宋体" w:eastAsia="宋体"/>
          <w:sz w:val="24"/>
          <w:szCs w:val="24"/>
        </w:rPr>
      </w:pPr>
      <w:r>
        <w:rPr>
          <w:rFonts w:ascii="宋体" w:hAnsi="宋体" w:eastAsia="宋体"/>
          <w:sz w:val="24"/>
          <w:szCs w:val="24"/>
        </w:rPr>
        <w:t>图4 为本发明实施例中碱性化学吸附单元的立体结构示意图。</w:t>
      </w:r>
    </w:p>
    <w:p w14:paraId="4CB72BDE">
      <w:pPr>
        <w:spacing w:line="400" w:lineRule="exact"/>
        <w:ind w:firstLine="480"/>
        <w:rPr>
          <w:rFonts w:ascii="宋体" w:hAnsi="宋体" w:eastAsia="宋体"/>
          <w:sz w:val="24"/>
          <w:szCs w:val="24"/>
        </w:rPr>
      </w:pPr>
      <w:r>
        <w:rPr>
          <w:rFonts w:ascii="宋体" w:hAnsi="宋体" w:eastAsia="宋体"/>
          <w:sz w:val="24"/>
          <w:szCs w:val="24"/>
        </w:rPr>
        <w:t>图5 为本发明实施例中检测单元的结构布局示意图。</w:t>
      </w:r>
    </w:p>
    <w:p w14:paraId="5EEA05B8">
      <w:pPr>
        <w:spacing w:line="400" w:lineRule="exact"/>
        <w:ind w:firstLine="480"/>
        <w:rPr>
          <w:rFonts w:ascii="宋体" w:hAnsi="宋体" w:eastAsia="宋体"/>
          <w:sz w:val="24"/>
          <w:szCs w:val="24"/>
        </w:rPr>
      </w:pPr>
      <w:r>
        <w:rPr>
          <w:rFonts w:ascii="宋体" w:hAnsi="宋体" w:eastAsia="宋体"/>
          <w:sz w:val="24"/>
          <w:szCs w:val="24"/>
        </w:rPr>
        <w:t>图6 为本发明实施例中</w:t>
      </w:r>
      <w:r>
        <w:rPr>
          <w:rFonts w:hint="eastAsia"/>
          <w:sz w:val="24"/>
          <w:szCs w:val="24"/>
          <w:lang w:eastAsia="zh-CN"/>
        </w:rPr>
        <w:t>可调式特斯拉限速阀</w:t>
      </w:r>
      <w:r>
        <w:rPr>
          <w:rFonts w:ascii="宋体" w:hAnsi="宋体" w:eastAsia="宋体"/>
          <w:sz w:val="24"/>
          <w:szCs w:val="24"/>
        </w:rPr>
        <w:t>的内部结构与可变挡板控制原理图。</w:t>
      </w:r>
    </w:p>
    <w:p w14:paraId="4433B5AF">
      <w:pPr>
        <w:spacing w:line="400" w:lineRule="exact"/>
        <w:ind w:firstLine="480"/>
        <w:rPr>
          <w:rFonts w:ascii="宋体" w:hAnsi="宋体" w:eastAsia="宋体"/>
          <w:sz w:val="24"/>
          <w:szCs w:val="24"/>
        </w:rPr>
      </w:pPr>
      <w:r>
        <w:rPr>
          <w:rFonts w:ascii="宋体" w:hAnsi="宋体" w:eastAsia="宋体"/>
          <w:sz w:val="24"/>
          <w:szCs w:val="24"/>
        </w:rPr>
        <w:t>图中：1-检测箱、2-底座、3-进气通道、4-蜂鸣器、5-过氧化氢补充管、6-出气通道、7-显示屏、8-LED指示灯、9-充电接口、10-进气风扇、11-前置检测仓、12-检测单元、121-基板、122-PM2.5激光散射传感器、123-二氧化硫电化学传感器、124-一氧化碳传感器、13-S型折流道、14-主控电路板、15-蓄电池、16-高温催化反应单元、161-</w:t>
      </w:r>
      <w:r>
        <w:rPr>
          <w:rFonts w:hint="eastAsia"/>
          <w:sz w:val="24"/>
          <w:szCs w:val="24"/>
          <w:lang w:eastAsia="zh-CN"/>
        </w:rPr>
        <w:t>耐高温加热腔体</w:t>
      </w:r>
      <w:r>
        <w:rPr>
          <w:rFonts w:ascii="宋体" w:hAnsi="宋体" w:eastAsia="宋体"/>
          <w:sz w:val="24"/>
          <w:szCs w:val="24"/>
        </w:rPr>
        <w:t>、162-ACO-2催化剂滤芯、163-雾化喷管、164-储液储罐、165-液位传感器、166-微型泵、17-碱性化学吸附单元、171-吸附腔、172-氢氧化钠改性活性炭多孔颗粒滤芯、18-后置检测仓、19-</w:t>
      </w:r>
      <w:r>
        <w:rPr>
          <w:rFonts w:hint="eastAsia"/>
          <w:sz w:val="24"/>
          <w:szCs w:val="24"/>
          <w:lang w:eastAsia="zh-CN"/>
        </w:rPr>
        <w:t>可调式特斯拉限速阀</w:t>
      </w:r>
      <w:r>
        <w:rPr>
          <w:rFonts w:ascii="宋体" w:hAnsi="宋体" w:eastAsia="宋体"/>
          <w:sz w:val="24"/>
          <w:szCs w:val="24"/>
        </w:rPr>
        <w:t>、191-可变挡板、192-流道转轴。</w:t>
      </w:r>
    </w:p>
    <w:p w14:paraId="2B4BCF04">
      <w:pPr>
        <w:spacing w:before="200" w:after="100" w:line="400" w:lineRule="exact"/>
        <w:rPr>
          <w:rFonts w:ascii="宋体" w:hAnsi="宋体" w:eastAsia="宋体"/>
          <w:b/>
          <w:bCs/>
          <w:sz w:val="28"/>
          <w:szCs w:val="28"/>
        </w:rPr>
      </w:pPr>
      <w:r>
        <w:rPr>
          <w:rFonts w:ascii="宋体" w:hAnsi="宋体" w:eastAsia="宋体"/>
          <w:b/>
          <w:bCs/>
          <w:sz w:val="28"/>
          <w:szCs w:val="28"/>
        </w:rPr>
        <w:t>具体实施方式</w:t>
      </w:r>
    </w:p>
    <w:p w14:paraId="77FE5665">
      <w:pPr>
        <w:spacing w:line="400" w:lineRule="exact"/>
        <w:ind w:firstLine="480"/>
        <w:rPr>
          <w:rFonts w:ascii="宋体" w:hAnsi="宋体" w:eastAsia="宋体"/>
          <w:sz w:val="24"/>
          <w:szCs w:val="24"/>
        </w:rPr>
      </w:pPr>
      <w:r>
        <w:rPr>
          <w:rFonts w:ascii="宋体" w:hAnsi="宋体" w:eastAsia="宋体"/>
          <w:sz w:val="24"/>
          <w:szCs w:val="24"/>
        </w:rPr>
        <w:t>下面结合附图及具体实施例对本发明作进一步详细说明。</w:t>
      </w:r>
    </w:p>
    <w:p w14:paraId="3C668E4C">
      <w:pPr>
        <w:spacing w:line="400" w:lineRule="exact"/>
        <w:ind w:firstLine="480"/>
        <w:rPr>
          <w:rFonts w:ascii="宋体" w:hAnsi="宋体" w:eastAsia="宋体"/>
          <w:sz w:val="24"/>
          <w:szCs w:val="24"/>
        </w:rPr>
      </w:pPr>
      <w:r>
        <w:rPr>
          <w:rFonts w:ascii="宋体" w:hAnsi="宋体" w:eastAsia="宋体"/>
          <w:sz w:val="24"/>
          <w:szCs w:val="24"/>
        </w:rPr>
        <w:t>如图1和图2所示，本实施例提供的一种多组分空气差分检测与分级净化装置，包括上方的检测箱（1）以及设置于检测箱（1）下方的底座（2）。检测箱（1）的左上侧开设有进气通道（3），右上侧开设有出气通道（6）。检测箱（1）内部通过隔板构建有S型折流道（13），S型折流道（13）连通进气通道（3）与出气通道（6），有效延长了气体在箱体内部的流动行程与反应滞留时间。</w:t>
      </w:r>
    </w:p>
    <w:p w14:paraId="1D8E15F5">
      <w:pPr>
        <w:spacing w:line="400" w:lineRule="exact"/>
        <w:ind w:firstLine="480"/>
        <w:rPr>
          <w:rFonts w:ascii="宋体" w:hAnsi="宋体" w:eastAsia="宋体"/>
          <w:sz w:val="24"/>
          <w:szCs w:val="24"/>
        </w:rPr>
      </w:pPr>
      <w:r>
        <w:rPr>
          <w:rFonts w:ascii="宋体" w:hAnsi="宋体" w:eastAsia="宋体"/>
          <w:sz w:val="24"/>
          <w:szCs w:val="24"/>
        </w:rPr>
        <w:t>沿气流流动方向，S型折流道（13）内依次装设有进气风扇（10）、</w:t>
      </w:r>
      <w:r>
        <w:rPr>
          <w:rFonts w:hint="eastAsia"/>
          <w:sz w:val="24"/>
          <w:szCs w:val="24"/>
          <w:lang w:eastAsia="zh-CN"/>
        </w:rPr>
        <w:t>可调式特斯拉限速阀</w:t>
      </w:r>
      <w:r>
        <w:rPr>
          <w:rFonts w:ascii="宋体" w:hAnsi="宋体" w:eastAsia="宋体"/>
          <w:sz w:val="24"/>
          <w:szCs w:val="24"/>
        </w:rPr>
        <w:t>（19）、前置检测仓（11）、高温催化反应单元（16）、碱性化学吸附单元（17）以及后置检测仓（18）。进气风扇（10）位于进气通道（3）的下游管路中，采用直流 PWM 调速风机。</w:t>
      </w:r>
    </w:p>
    <w:p w14:paraId="2FB4D12A">
      <w:pPr>
        <w:spacing w:line="400" w:lineRule="exact"/>
        <w:ind w:firstLine="480"/>
        <w:rPr>
          <w:rFonts w:ascii="宋体" w:hAnsi="宋体" w:eastAsia="宋体"/>
          <w:sz w:val="24"/>
          <w:szCs w:val="24"/>
        </w:rPr>
      </w:pPr>
      <w:r>
        <w:rPr>
          <w:rFonts w:hint="eastAsia"/>
          <w:sz w:val="24"/>
          <w:szCs w:val="24"/>
          <w:lang w:val="en-US" w:eastAsia="zh-CN"/>
        </w:rPr>
        <w:t>如图6所示，</w:t>
      </w:r>
      <w:r>
        <w:rPr>
          <w:rFonts w:ascii="宋体" w:hAnsi="宋体" w:eastAsia="宋体"/>
          <w:sz w:val="24"/>
          <w:szCs w:val="24"/>
        </w:rPr>
        <w:t>紧随进气风扇（10）下游设置有所述</w:t>
      </w:r>
      <w:r>
        <w:rPr>
          <w:rFonts w:hint="eastAsia"/>
          <w:sz w:val="24"/>
          <w:szCs w:val="24"/>
          <w:lang w:eastAsia="zh-CN"/>
        </w:rPr>
        <w:t>可调式特斯拉限速阀</w:t>
      </w:r>
      <w:r>
        <w:rPr>
          <w:rFonts w:ascii="宋体" w:hAnsi="宋体" w:eastAsia="宋体"/>
          <w:sz w:val="24"/>
          <w:szCs w:val="24"/>
        </w:rPr>
        <w:t>（19），所述</w:t>
      </w:r>
      <w:r>
        <w:rPr>
          <w:rFonts w:hint="eastAsia"/>
          <w:sz w:val="24"/>
          <w:szCs w:val="24"/>
          <w:lang w:eastAsia="zh-CN"/>
        </w:rPr>
        <w:t>可调式特斯拉限速阀</w:t>
      </w:r>
      <w:r>
        <w:rPr>
          <w:rFonts w:ascii="宋体" w:hAnsi="宋体" w:eastAsia="宋体"/>
          <w:sz w:val="24"/>
          <w:szCs w:val="24"/>
        </w:rPr>
        <w:t>（19）的上下管壁通过设于进气端的流道转轴（192）铰接，从而可以改变管壁之间的夹角。根据流体连续性方程 Q = v × A，主控电路板（14）根据</w:t>
      </w:r>
      <w:r>
        <w:rPr>
          <w:rFonts w:ascii="宋体" w:hAnsi="宋体" w:eastAsia="宋体" w:cs="宋体"/>
          <w:sz w:val="24"/>
          <w:szCs w:val="24"/>
        </w:rPr>
        <w:t>前置检测仓 (11) 的检测数据</w:t>
      </w:r>
      <w:r>
        <w:rPr>
          <w:rFonts w:ascii="宋体" w:hAnsi="宋体" w:eastAsia="宋体"/>
          <w:sz w:val="24"/>
          <w:szCs w:val="24"/>
        </w:rPr>
        <w:t>，然后再根据</w:t>
      </w:r>
      <w:r>
        <w:rPr>
          <w:rFonts w:hint="eastAsia"/>
          <w:sz w:val="24"/>
          <w:szCs w:val="24"/>
          <w:lang w:val="en-US" w:eastAsia="zh-CN"/>
        </w:rPr>
        <w:t>预设</w:t>
      </w:r>
      <w:r>
        <w:rPr>
          <w:rFonts w:ascii="宋体" w:hAnsi="宋体" w:eastAsia="宋体"/>
          <w:sz w:val="24"/>
          <w:szCs w:val="24"/>
        </w:rPr>
        <w:t>的充分反应所需的气体流速，动态控制调节</w:t>
      </w:r>
      <w:r>
        <w:rPr>
          <w:rFonts w:hint="eastAsia"/>
          <w:sz w:val="24"/>
          <w:szCs w:val="24"/>
          <w:lang w:eastAsia="zh-CN"/>
        </w:rPr>
        <w:t>可调式特斯拉限速阀</w:t>
      </w:r>
      <w:r>
        <w:rPr>
          <w:rFonts w:ascii="宋体" w:hAnsi="宋体" w:eastAsia="宋体"/>
          <w:sz w:val="24"/>
          <w:szCs w:val="24"/>
        </w:rPr>
        <w:t>（19）上下管壁之间的夹角，以改变横截面积 A。在不减少总流量 Q 的前提下，通过增大横截面积 A 来实现流速 v 变慢的效果。同时，在所述</w:t>
      </w:r>
      <w:r>
        <w:rPr>
          <w:rFonts w:hint="eastAsia"/>
          <w:sz w:val="24"/>
          <w:szCs w:val="24"/>
          <w:lang w:eastAsia="zh-CN"/>
        </w:rPr>
        <w:t>可调式特斯拉限速阀</w:t>
      </w:r>
      <w:r>
        <w:rPr>
          <w:rFonts w:ascii="宋体" w:hAnsi="宋体" w:eastAsia="宋体"/>
          <w:sz w:val="24"/>
          <w:szCs w:val="24"/>
        </w:rPr>
        <w:t>（19）内部的每个分流岔口处均增加有可变挡板（191），主控电路板（14）通过动态调节可变挡板（191）的偏转角度，改变该分岔口的面积，从而改变流速与流阻，确保有害气体在后续单元中有充分的反应滞留时间。</w:t>
      </w:r>
    </w:p>
    <w:p w14:paraId="3AD4271A">
      <w:pPr>
        <w:spacing w:line="400" w:lineRule="exact"/>
        <w:ind w:firstLine="480"/>
        <w:rPr>
          <w:rFonts w:ascii="宋体" w:hAnsi="宋体" w:eastAsia="宋体"/>
          <w:sz w:val="24"/>
          <w:szCs w:val="24"/>
        </w:rPr>
      </w:pPr>
      <w:r>
        <w:rPr>
          <w:rFonts w:ascii="宋体" w:hAnsi="宋体" w:eastAsia="宋体"/>
          <w:sz w:val="24"/>
          <w:szCs w:val="24"/>
        </w:rPr>
        <w:t>如图2和图5所示，前置检测仓（11）与后置检测仓（18）分别设置在S型折流道（13）的两端直管段内，其内部均安装有结构相同的检测单元（12）。检测单元（12）包括基板（121），基板（121）上集成固定有PM2.5激光散射传感器（122）、二氧化硫电化学传感器（123）以及一氧化碳传感器（124）。前置检测仓（11）用于采集进入装置的原始污染气体浓度，后置检测仓（18）用于采集经过净化后的排气浓度。</w:t>
      </w:r>
    </w:p>
    <w:p w14:paraId="05AA1F04">
      <w:pPr>
        <w:spacing w:line="400" w:lineRule="exact"/>
        <w:ind w:firstLine="480"/>
        <w:rPr>
          <w:rFonts w:ascii="宋体" w:hAnsi="宋体" w:eastAsia="宋体"/>
          <w:sz w:val="24"/>
          <w:szCs w:val="24"/>
        </w:rPr>
      </w:pPr>
      <w:r>
        <w:rPr>
          <w:rFonts w:ascii="宋体" w:hAnsi="宋体" w:eastAsia="宋体"/>
          <w:sz w:val="24"/>
          <w:szCs w:val="24"/>
        </w:rPr>
        <w:t>如图2和图3所示，高温催化反应单元（16）包括</w:t>
      </w:r>
      <w:r>
        <w:rPr>
          <w:rFonts w:hint="eastAsia"/>
          <w:sz w:val="24"/>
          <w:szCs w:val="24"/>
          <w:lang w:eastAsia="zh-CN"/>
        </w:rPr>
        <w:t>耐高温加热腔体</w:t>
      </w:r>
      <w:r>
        <w:rPr>
          <w:rFonts w:ascii="宋体" w:hAnsi="宋体" w:eastAsia="宋体"/>
          <w:sz w:val="24"/>
          <w:szCs w:val="24"/>
        </w:rPr>
        <w:t>（161），</w:t>
      </w:r>
      <w:r>
        <w:rPr>
          <w:rFonts w:hint="eastAsia"/>
          <w:sz w:val="24"/>
          <w:szCs w:val="24"/>
          <w:lang w:eastAsia="zh-CN"/>
        </w:rPr>
        <w:t>耐高温加热腔体</w:t>
      </w:r>
      <w:r>
        <w:rPr>
          <w:rFonts w:ascii="宋体" w:hAnsi="宋体" w:eastAsia="宋体"/>
          <w:sz w:val="24"/>
          <w:szCs w:val="24"/>
        </w:rPr>
        <w:t>（161）内部</w:t>
      </w:r>
      <w:r>
        <w:rPr>
          <w:rFonts w:hint="eastAsia"/>
          <w:sz w:val="24"/>
          <w:szCs w:val="24"/>
          <w:lang w:val="en-US" w:eastAsia="zh-CN"/>
        </w:rPr>
        <w:t>预埋加热管，耐高温加热腔体（161）</w:t>
      </w:r>
      <w:r>
        <w:rPr>
          <w:rFonts w:ascii="宋体" w:hAnsi="宋体" w:eastAsia="宋体"/>
          <w:sz w:val="24"/>
          <w:szCs w:val="24"/>
        </w:rPr>
        <w:t>横向嵌设有两层ACO-2催化剂滤芯（162）。</w:t>
      </w:r>
      <w:r>
        <w:rPr>
          <w:rFonts w:hint="eastAsia"/>
          <w:sz w:val="24"/>
          <w:szCs w:val="24"/>
          <w:lang w:eastAsia="zh-CN"/>
        </w:rPr>
        <w:t>耐高温加热腔体</w:t>
      </w:r>
      <w:r>
        <w:rPr>
          <w:rFonts w:ascii="宋体" w:hAnsi="宋体" w:eastAsia="宋体"/>
          <w:sz w:val="24"/>
          <w:szCs w:val="24"/>
        </w:rPr>
        <w:t>（161）内部上方架设有雾化喷管（163），</w:t>
      </w:r>
      <w:r>
        <w:rPr>
          <w:rFonts w:hint="eastAsia"/>
          <w:sz w:val="24"/>
          <w:szCs w:val="24"/>
          <w:lang w:eastAsia="zh-CN"/>
        </w:rPr>
        <w:t>耐高温加热腔体</w:t>
      </w:r>
      <w:r>
        <w:rPr>
          <w:rFonts w:ascii="宋体" w:hAnsi="宋体" w:eastAsia="宋体"/>
          <w:sz w:val="24"/>
          <w:szCs w:val="24"/>
        </w:rPr>
        <w:t>（161）的外侧壁固定有储液储罐（164），储液储罐（164）顶部装设有微型泵（166），微型泵（166）的输出端通过管路与雾化喷管（163）连通。储液储罐（164）内部设有液位传感器（165），储液储罐（164）顶部还向上引出有过氧化氢补充管（5），过氧化氢补充管（5）向上贯穿伸出至检测箱（1）的顶板外部，便于外部直接注液。当含有CO的气体经过时，微型泵（166）抽取过氧化氢经雾化喷管（163）喷出，在加热及ACO-2催化剂协同下将CO深度氧化为二氧化碳。</w:t>
      </w:r>
    </w:p>
    <w:p w14:paraId="7F4BC119">
      <w:pPr>
        <w:spacing w:line="400" w:lineRule="exact"/>
        <w:ind w:firstLine="480"/>
        <w:rPr>
          <w:rFonts w:ascii="宋体" w:hAnsi="宋体" w:eastAsia="宋体"/>
          <w:sz w:val="24"/>
          <w:szCs w:val="24"/>
        </w:rPr>
      </w:pPr>
      <w:r>
        <w:rPr>
          <w:rFonts w:ascii="宋体" w:hAnsi="宋体" w:eastAsia="宋体"/>
          <w:sz w:val="24"/>
          <w:szCs w:val="24"/>
        </w:rPr>
        <w:t>如图2和图4所示，碱性化学吸附单元（17）位于高温催化反应单元（16）的下游，包括吸附腔（171），吸附腔（171）内部沿竖直方向等间距滑移插接有三层氢氧化钠改性活性炭多孔颗粒滤芯（172）。各层滤芯通过抽屉式滑轨卡接在吸附腔（171）内，一方面利用活性炭的多孔介质拦截过滤细微颗粒物（PM2.5），另一方面利用改性负载的强碱性氢氧化钠与酸性气体SO2发生中和化学吸收，生成稳定固态盐实现固化清除。</w:t>
      </w:r>
    </w:p>
    <w:p w14:paraId="29CBD6D5">
      <w:pPr>
        <w:spacing w:line="400" w:lineRule="exact"/>
        <w:ind w:firstLine="480"/>
        <w:rPr>
          <w:rFonts w:ascii="宋体" w:hAnsi="宋体" w:eastAsia="宋体"/>
          <w:sz w:val="24"/>
          <w:szCs w:val="24"/>
        </w:rPr>
      </w:pPr>
      <w:r>
        <w:rPr>
          <w:rFonts w:ascii="宋体" w:hAnsi="宋体" w:eastAsia="宋体"/>
          <w:sz w:val="24"/>
          <w:szCs w:val="24"/>
        </w:rPr>
        <w:t>如图1和图2所示，底座（2）内部集成了控制与动力系统，包括主控电路板（14）以及蓄电池（15）。检测箱（1）顶部安装有蜂鸣器（4），底座（2）的斜切前面板上嵌设有显示屏（7）、若干LED指示灯（8）以及充电接口（9）。主控电路板（14）分别与进气风扇（10）、检测单元（12）、微型泵（166）、液位传感器（165）、蜂鸣器（4）、显示屏（7）、LED指示灯（8）及蓄电池（15）电连接，充电接口（9）与蓄电池（15）电连接以实现便携供电。</w:t>
      </w:r>
    </w:p>
    <w:p w14:paraId="411B95FD">
      <w:pPr>
        <w:spacing w:line="400" w:lineRule="exact"/>
        <w:ind w:firstLine="480"/>
        <w:rPr>
          <w:rFonts w:ascii="宋体" w:hAnsi="宋体" w:eastAsia="宋体"/>
          <w:sz w:val="24"/>
          <w:szCs w:val="24"/>
        </w:rPr>
      </w:pPr>
      <w:r>
        <w:rPr>
          <w:rFonts w:ascii="宋体" w:hAnsi="宋体" w:eastAsia="宋体"/>
          <w:sz w:val="24"/>
          <w:szCs w:val="24"/>
        </w:rPr>
        <w:t>本装置的具体工作与调控流程如下：</w:t>
      </w:r>
    </w:p>
    <w:p w14:paraId="6BF2488C">
      <w:pPr>
        <w:spacing w:line="400" w:lineRule="exact"/>
        <w:ind w:firstLine="480"/>
        <w:rPr>
          <w:rFonts w:ascii="宋体" w:hAnsi="宋体" w:eastAsia="宋体"/>
          <w:sz w:val="24"/>
          <w:szCs w:val="24"/>
        </w:rPr>
      </w:pPr>
      <w:r>
        <w:rPr>
          <w:rFonts w:ascii="宋体" w:hAnsi="宋体" w:eastAsia="宋体"/>
          <w:sz w:val="24"/>
          <w:szCs w:val="24"/>
        </w:rPr>
        <w:t>一氧化碳污染响应流程：当前置检测仓（11）内的一氧化碳传感器（124）读数达到或超过预设报警净化阈值时，主控电路板（14）驱动蜂鸣器（4）与LED指示灯（8）报警，启动进气风扇（10）进气，同步接通微型泵（166）喷射过氧化氢并在高温催化反应单元（16）内</w:t>
      </w:r>
      <w:r>
        <w:rPr>
          <w:rFonts w:hint="eastAsia"/>
          <w:sz w:val="24"/>
          <w:szCs w:val="24"/>
          <w:lang w:val="en-US" w:eastAsia="zh-CN"/>
        </w:rPr>
        <w:t>加热</w:t>
      </w:r>
      <w:r>
        <w:rPr>
          <w:rFonts w:ascii="宋体" w:hAnsi="宋体" w:eastAsia="宋体"/>
          <w:sz w:val="24"/>
          <w:szCs w:val="24"/>
        </w:rPr>
        <w:t>催化分解</w:t>
      </w:r>
      <w:r>
        <w:rPr>
          <w:rFonts w:hint="eastAsia"/>
          <w:sz w:val="24"/>
          <w:szCs w:val="24"/>
          <w:lang w:eastAsia="zh-CN"/>
        </w:rPr>
        <w:t>，</w:t>
      </w:r>
      <w:r>
        <w:rPr>
          <w:rFonts w:hint="eastAsia"/>
          <w:sz w:val="24"/>
          <w:szCs w:val="24"/>
          <w:lang w:val="en-US" w:eastAsia="zh-CN"/>
        </w:rPr>
        <w:t>同时催化一氧化碳氧化；</w:t>
      </w:r>
      <w:bookmarkStart w:id="0" w:name="_GoBack"/>
      <w:bookmarkEnd w:id="0"/>
      <w:r>
        <w:rPr>
          <w:rFonts w:ascii="宋体" w:hAnsi="宋体" w:eastAsia="宋体"/>
          <w:sz w:val="24"/>
          <w:szCs w:val="24"/>
        </w:rPr>
        <w:t>主控电路板（14）持续采集后置检测仓（18）内的一氧化碳传感器（124）读数，并在显示屏（7）实时显示出风口浓度与净化效率。</w:t>
      </w:r>
    </w:p>
    <w:p w14:paraId="20882DB4">
      <w:pPr>
        <w:spacing w:line="400" w:lineRule="exact"/>
        <w:ind w:firstLine="480"/>
        <w:rPr>
          <w:rFonts w:ascii="宋体" w:hAnsi="宋体" w:eastAsia="宋体"/>
          <w:sz w:val="24"/>
          <w:szCs w:val="24"/>
        </w:rPr>
      </w:pPr>
      <w:r>
        <w:rPr>
          <w:rFonts w:ascii="宋体" w:hAnsi="宋体" w:eastAsia="宋体"/>
          <w:sz w:val="24"/>
          <w:szCs w:val="24"/>
        </w:rPr>
        <w:t>PM2.5及二氧化硫污染响应流程：当前置检测仓（11）内的PM2.5激光散射传感器（122）或二氧化硫电化学传感器（123）超标时，主控电路板（14）发出报警并驱动进气风扇（10）运转，含尘及酸性气体直接通过碱性化学吸附单元（17）完成颗粒吸附与化学中和，此时微型泵（166）保持待机以节能。后置检测仓（18）实时检测排气PM2.5与SO2含量并刷新于显示屏（7）。</w:t>
      </w:r>
    </w:p>
    <w:p w14:paraId="359752EA">
      <w:pPr>
        <w:spacing w:line="400" w:lineRule="exact"/>
        <w:ind w:firstLine="480"/>
        <w:rPr>
          <w:rFonts w:ascii="宋体" w:hAnsi="宋体" w:eastAsia="宋体"/>
          <w:sz w:val="24"/>
          <w:szCs w:val="24"/>
        </w:rPr>
      </w:pPr>
      <w:r>
        <w:rPr>
          <w:rFonts w:ascii="宋体" w:hAnsi="宋体" w:eastAsia="宋体"/>
          <w:sz w:val="24"/>
          <w:szCs w:val="24"/>
        </w:rPr>
        <w:t>突增快速预警流程：主控电路板（14）实时监测各组分浓度的变化斜率。当检测到任一组分的浓度上升速率超出突增速率阈值，且即时浓度达到警告阈值时，主控电路板（14）提前驱动蜂鸣器（4）发出急促预警信号，实现火险或严重泄漏的前置防御。</w:t>
      </w:r>
    </w:p>
    <w:sectPr>
      <w:headerReference r:id="rId5" w:type="default"/>
      <w:footerReference r:id="rId6" w:type="default"/>
      <w:pgSz w:w="11906" w:h="16838"/>
      <w:pgMar w:top="1417" w:right="850" w:bottom="850" w:left="1417" w:header="720" w:footer="425" w:gutter="0"/>
      <w:pgNumType w:fmt="decimal" w:start="1"/>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A57AF552-B1BA-4255-B809-6D5B85A6CDCA}"/>
  </w:font>
  <w:font w:name="Arial">
    <w:panose1 w:val="020B0604020202020204"/>
    <w:charset w:val="01"/>
    <w:family w:val="swiss"/>
    <w:pitch w:val="default"/>
    <w:sig w:usb0="E0002EFF" w:usb1="C000785B" w:usb2="00000009" w:usb3="00000000" w:csb0="400001FF" w:csb1="FFFF0000"/>
    <w:embedRegular r:id="rId2" w:fontKey="{2D2B77C8-AB8C-4859-9016-FDE9767E102A}"/>
  </w:font>
  <w:font w:name="黑体">
    <w:panose1 w:val="02010609060101010101"/>
    <w:charset w:val="86"/>
    <w:family w:val="auto"/>
    <w:pitch w:val="default"/>
    <w:sig w:usb0="800002BF" w:usb1="38CF7CFA" w:usb2="00000016" w:usb3="00000000" w:csb0="00040001" w:csb1="00000000"/>
    <w:embedRegular r:id="rId3" w:fontKey="{A6323D06-427B-40CE-83D7-355D8F23F594}"/>
  </w:font>
  <w:font w:name="Courier New">
    <w:panose1 w:val="02070309020205020404"/>
    <w:charset w:val="01"/>
    <w:family w:val="modern"/>
    <w:pitch w:val="default"/>
    <w:sig w:usb0="E0002EFF" w:usb1="C0007843" w:usb2="00000009" w:usb3="00000000" w:csb0="400001FF" w:csb1="FFFF0000"/>
    <w:embedRegular r:id="rId4" w:fontKey="{48EEF622-585E-435D-9D57-E98690704600}"/>
  </w:font>
  <w:font w:name="Symbol">
    <w:panose1 w:val="05050102010706020507"/>
    <w:charset w:val="02"/>
    <w:family w:val="roman"/>
    <w:pitch w:val="default"/>
    <w:sig w:usb0="00000000" w:usb1="00000000" w:usb2="00000000" w:usb3="00000000" w:csb0="80000000" w:csb1="00000000"/>
    <w:embedRegular r:id="rId5" w:fontKey="{E12C6A91-B71E-486D-BFBD-01ED16D218E2}"/>
  </w:font>
  <w:font w:name="Calibri">
    <w:panose1 w:val="020F0502020204030204"/>
    <w:charset w:val="00"/>
    <w:family w:val="swiss"/>
    <w:pitch w:val="default"/>
    <w:sig w:usb0="E4002EFF" w:usb1="C200247B" w:usb2="00000009" w:usb3="00000000" w:csb0="200001FF" w:csb1="00000000"/>
    <w:embedRegular r:id="rId6" w:fontKey="{A8F5EBF4-1978-47F7-A475-5D7F234B51BB}"/>
  </w:font>
  <w:font w:name="Noto Serif SC">
    <w:panose1 w:val="02020200000000000000"/>
    <w:charset w:val="86"/>
    <w:family w:val="auto"/>
    <w:pitch w:val="default"/>
    <w:sig w:usb0="20000083" w:usb1="2ADF3C10" w:usb2="00000016" w:usb3="00000000" w:csb0="60060107" w:csb1="00000000"/>
  </w:font>
  <w:font w:name="Georgia">
    <w:panose1 w:val="02040502050405020303"/>
    <w:charset w:val="00"/>
    <w:family w:val="auto"/>
    <w:pitch w:val="default"/>
    <w:sig w:usb0="00000287" w:usb1="00000000" w:usb2="00000000" w:usb3="00000000" w:csb0="2000009F" w:csb1="00000000"/>
    <w:embedRegular r:id="rId7" w:fontKey="{87E4F160-6E75-4028-ADAB-C7D2F30E03C1}"/>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embedRegular r:id="rId8" w:fontKey="{0927C946-71A2-407C-9C95-3F003BDE467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C5ECA">
    <w:pPr>
      <w:jc w:val="center"/>
      <w:rPr>
        <w:rFonts w:ascii="宋体" w:hAnsi="宋体" w:eastAsia="宋体"/>
        <w:sz w:val="20"/>
        <w:szCs w:val="20"/>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9D5933">
                          <w:pPr>
                            <w:pStyle w:val="8"/>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E9D5933">
                    <w:pPr>
                      <w:pStyle w:val="8"/>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96779">
    <w:pPr>
      <w:pBdr>
        <w:bottom w:val="none" w:color="auto" w:sz="0" w:space="0"/>
      </w:pBdr>
      <w:jc w:val="center"/>
      <w:outlineLvl w:val="0"/>
      <w:rPr>
        <w:rFonts w:ascii="黑体" w:eastAsia="黑体"/>
        <w:b/>
        <w:spacing w:val="130"/>
        <w:sz w:val="28"/>
      </w:rPr>
    </w:pPr>
    <w:r>
      <w:rPr>
        <w:rFonts w:eastAsia="黑体"/>
        <w:spacing w:val="13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2" name="直接连接符 2"/>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1SdldYAAAAGAQAADwAAAAAAAAABACAAAAAiAAAAZHJzL2Rvd25yZXYueG1sUEsB&#10;AhQAFAAAAAgAh07iQGodblz3AQAA8wMAAA4AAAAAAAAAAQAgAAAAJQEAAGRycy9lMm9Eb2MueG1s&#10;UEsFBgAAAAAGAAYAWQEAAI4FAAAAAA==&#10;">
              <v:fill on="f" focussize="0,0"/>
              <v:stroke weight="1pt" color="#000000" joinstyle="round"/>
              <v:imagedata o:title=""/>
              <o:lock v:ext="edit" aspectratio="f"/>
            </v:line>
          </w:pict>
        </mc:Fallback>
      </mc:AlternateContent>
    </w:r>
    <w:r>
      <w:rPr>
        <w:rFonts w:hint="eastAsia" w:eastAsia="黑体"/>
        <w:spacing w:val="130"/>
        <w:sz w:val="28"/>
      </w:rPr>
      <w:t>说明书</w:t>
    </w:r>
  </w:p>
  <w:p w14:paraId="2B8602B2">
    <w:pPr>
      <w:pStyle w:val="9"/>
      <w:pBdr>
        <w:bottom w:val="none" w:color="auto" w:sz="0" w:space="1"/>
      </w:pBdr>
      <w:tabs>
        <w:tab w:val="clear" w:pos="4153"/>
      </w:tabs>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1D646B79"/>
    <w:rsid w:val="1F3038B4"/>
    <w:rsid w:val="2B321100"/>
    <w:rsid w:val="2BD61589"/>
    <w:rsid w:val="39F71049"/>
    <w:rsid w:val="7BB879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400" w:lineRule="exact"/>
    </w:pPr>
    <w:rPr>
      <w:rFonts w:ascii="宋体" w:hAnsi="宋体" w:eastAsia="宋体" w:cs="宋体"/>
      <w:sz w:val="24"/>
      <w:szCs w:val="24"/>
    </w:rPr>
  </w:style>
  <w:style w:type="paragraph" w:styleId="2">
    <w:name w:val="heading 1"/>
    <w:basedOn w:val="1"/>
    <w:next w:val="1"/>
    <w:qFormat/>
    <w:uiPriority w:val="0"/>
    <w:pPr>
      <w:keepNext/>
      <w:keepLines/>
      <w:pageBreakBefore w:val="0"/>
      <w:spacing w:before="480" w:after="120" w:line="240" w:lineRule="auto"/>
    </w:pPr>
    <w:rPr>
      <w:rFonts w:ascii="Noto Serif SC" w:hAnsi="Noto Serif SC" w:eastAsia="Noto Serif SC" w:cs="Noto Serif SC"/>
      <w:b/>
      <w:bCs/>
      <w:color w:val="111111"/>
      <w:sz w:val="28"/>
      <w:szCs w:val="28"/>
    </w:rPr>
  </w:style>
  <w:style w:type="paragraph" w:styleId="3">
    <w:name w:val="heading 2"/>
    <w:basedOn w:val="1"/>
    <w:next w:val="1"/>
    <w:qFormat/>
    <w:uiPriority w:val="0"/>
    <w:pPr>
      <w:keepNext/>
      <w:keepLines/>
      <w:pageBreakBefore w:val="0"/>
      <w:spacing w:before="360" w:after="80" w:line="240" w:lineRule="auto"/>
    </w:pPr>
    <w:rPr>
      <w:rFonts w:ascii="Noto Serif SC" w:hAnsi="Noto Serif SC" w:eastAsia="Noto Serif SC" w:cs="Noto Serif SC"/>
      <w:b/>
      <w:bCs/>
      <w:color w:val="222222"/>
      <w:sz w:val="24"/>
      <w:szCs w:val="24"/>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line="240" w:lineRule="auto"/>
    </w:pPr>
    <w:rPr>
      <w:rFonts w:ascii="Noto Serif SC" w:hAnsi="Noto Serif SC" w:eastAsia="Noto Serif SC" w:cs="Noto Serif SC"/>
      <w:b/>
      <w:bCs/>
      <w:color w:val="111111"/>
      <w:sz w:val="36"/>
      <w:szCs w:val="36"/>
    </w:rPr>
  </w:style>
  <w:style w:type="table" w:customStyle="1" w:styleId="14">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4508</Words>
  <Characters>4899</Characters>
  <TotalTime>27</TotalTime>
  <ScaleCrop>false</ScaleCrop>
  <LinksUpToDate>false</LinksUpToDate>
  <CharactersWithSpaces>4927</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2026-10-01T09:01:00Z</dcterms:created>
  <dc:creator>Administrator</dc:creator>
  <cp:lastModifiedBy>liftprimes</cp:lastModifiedBy>
  <dcterms:modified xsi:type="dcterms:W3CDTF">2026-10-01T11:38:47Z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eyJoZGlkIjoiY2I1ZDk2OWI2NDZmYzI3ZWIxN2ViNGNhNjYzMDcwOGIiLCJ1c2VySWQiOiIxMjgwNjgxMTA4In0=</vt:lpwstr>
  </property>
  <property fmtid="{D5CDD505-2E9C-101B-9397-08002B2CF9AE}" pid="3" name="KSOProductBuildVer">
    <vt:lpwstr>2052-12.1.0.28505</vt:lpwstr>
  </property>
  <property fmtid="{D5CDD505-2E9C-101B-9397-08002B2CF9AE}" pid="4" name="ICV">
    <vt:lpwstr>3A33B360A255417693FE9CBA09A7FD65_13</vt:lpwstr>
  </property>
</Properties>
</file>