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853a895f4f44e1cb822331087f9ce851ff00a86"/>
    <w:p>
      <w:pPr>
        <w:pStyle w:val="Heading1"/>
      </w:pPr>
      <w:r>
        <w:t xml:space="preserve">Final Report (Edited and Humanised Version)</w:t>
      </w:r>
    </w:p>
    <w:p>
      <w:pPr>
        <w:pStyle w:val="FirstParagraph"/>
      </w:pPr>
      <w:r>
        <w:rPr>
          <w:b/>
          <w:bCs/>
        </w:rPr>
        <w:t xml:space="preserve">Note:</w:t>
      </w:r>
      <w:r>
        <w:t xml:space="preserve"> </w:t>
      </w:r>
      <w:r>
        <w:t xml:space="preserve">Headings that were unfinished have been left as they are, as requested. Formatting, clarity, grammar, and flow have been fully improved and humanised.</w:t>
      </w:r>
    </w:p>
    <w:p>
      <w:r>
        <w:pict>
          <v:rect style="width:0;height:1.5pt" o:hralign="center" o:hrstd="t" o:hr="t"/>
        </w:pict>
      </w:r>
    </w:p>
    <w:bookmarkEnd w:id="20"/>
    <w:bookmarkStart w:id="22" w:name="X22e724cb2956d524a3ca83d51a990351567937d"/>
    <w:p>
      <w:pPr>
        <w:pStyle w:val="Heading1"/>
      </w:pPr>
      <w:r>
        <w:t xml:space="preserve">7COM1079 – Team Research and Development Project</w:t>
      </w:r>
    </w:p>
    <w:bookmarkStart w:id="21" w:name="X0cf7fedb44a9ddefb028922f8ce6e2040f400b1"/>
    <w:p>
      <w:pPr>
        <w:pStyle w:val="Heading2"/>
      </w:pPr>
      <w:r>
        <w:t xml:space="preserve">Final Report Title:</w:t>
      </w:r>
      <w:r>
        <w:t xml:space="preserve"> </w:t>
      </w:r>
      <w:r>
        <w:rPr>
          <w:i/>
          <w:iCs/>
        </w:rPr>
        <w:t xml:space="preserve">[Insert Final Research Title]</w:t>
      </w:r>
    </w:p>
    <w:p>
      <w:pPr>
        <w:pStyle w:val="FirstParagraph"/>
      </w:pPr>
      <w:r>
        <w:rPr>
          <w:b/>
          <w:bCs/>
        </w:rPr>
        <w:t xml:space="preserve">Group ID:</w:t>
      </w:r>
      <w:r>
        <w:t xml:space="preserve"> </w:t>
      </w:r>
      <w:r>
        <w:rPr>
          <w:i/>
          <w:iCs/>
        </w:rPr>
        <w:t xml:space="preserve">[Insert ID]</w:t>
      </w:r>
      <w:r>
        <w:br/>
      </w:r>
      <w:r>
        <w:rPr>
          <w:b/>
          <w:bCs/>
        </w:rPr>
        <w:t xml:space="preserve">Dataset Number:</w:t>
      </w:r>
      <w:r>
        <w:t xml:space="preserve"> </w:t>
      </w:r>
      <w:r>
        <w:rPr>
          <w:i/>
          <w:iCs/>
        </w:rPr>
        <w:t xml:space="preserve">[Insert Number]</w:t>
      </w:r>
    </w:p>
    <w:p>
      <w:pPr>
        <w:pStyle w:val="BodyText"/>
      </w:pPr>
      <w:r>
        <w:rPr>
          <w:b/>
          <w:bCs/>
        </w:rPr>
        <w:t xml:space="preserve">Prepared by:</w:t>
      </w:r>
      <w:r>
        <w:br/>
      </w:r>
      <w:r>
        <w:t xml:space="preserve">•</w:t>
      </w:r>
      <w:r>
        <w:t xml:space="preserve"> </w:t>
      </w:r>
      <w:r>
        <w:rPr>
          <w:i/>
          <w:iCs/>
        </w:rPr>
        <w:t xml:space="preserve">[Name and ID]</w:t>
      </w:r>
      <w:r>
        <w:t xml:space="preserve"> </w:t>
      </w:r>
      <w:r>
        <w:t xml:space="preserve">(Submitting Student)</w:t>
      </w:r>
      <w:r>
        <w:br/>
      </w:r>
      <w:r>
        <w:t xml:space="preserve">•</w:t>
      </w:r>
      <w:r>
        <w:t xml:space="preserve"> </w:t>
      </w:r>
      <w:r>
        <w:rPr>
          <w:i/>
          <w:iCs/>
        </w:rPr>
        <w:t xml:space="preserve">[Name and ID of Other Group Members]</w:t>
      </w:r>
    </w:p>
    <w:p>
      <w:pPr>
        <w:pStyle w:val="BodyText"/>
      </w:pPr>
      <w:r>
        <w:t xml:space="preserve">University of Hertfordshire</w:t>
      </w:r>
      <w:r>
        <w:br/>
      </w:r>
      <w:r>
        <w:t xml:space="preserve">Hatfield, 2025</w:t>
      </w:r>
    </w:p>
    <w:p>
      <w:r>
        <w:pict>
          <v:rect style="width:0;height:1.5pt" o:hralign="center" o:hrstd="t" o:hr="t"/>
        </w:pict>
      </w:r>
    </w:p>
    <w:bookmarkEnd w:id="21"/>
    <w:bookmarkEnd w:id="22"/>
    <w:bookmarkStart w:id="23" w:name="table-of-contents"/>
    <w:p>
      <w:pPr>
        <w:pStyle w:val="Heading1"/>
      </w:pPr>
      <w:r>
        <w:t xml:space="preserve">Table of Contents</w:t>
      </w:r>
    </w:p>
    <w:p>
      <w:pPr>
        <w:numPr>
          <w:ilvl w:val="0"/>
          <w:numId w:val="1001"/>
        </w:numPr>
      </w:pPr>
      <w:r>
        <w:t xml:space="preserve">Introduction</w:t>
      </w:r>
      <w:r>
        <w:br/>
      </w:r>
      <w:r>
        <w:t xml:space="preserve">   1.1 Problem Statement and Research Motivation</w:t>
      </w:r>
      <w:r>
        <w:br/>
      </w:r>
      <w:r>
        <w:t xml:space="preserve">   1.2 The Dataset</w:t>
      </w:r>
      <w:r>
        <w:br/>
      </w:r>
      <w:r>
        <w:t xml:space="preserve">   1.3 Research Question</w:t>
      </w:r>
      <w:r>
        <w:br/>
      </w:r>
      <w:r>
        <w:t xml:space="preserve">   1.4 Null and Alternative Hypotheses (H0/H1)</w:t>
      </w:r>
    </w:p>
    <w:p>
      <w:pPr>
        <w:numPr>
          <w:ilvl w:val="0"/>
          <w:numId w:val="1001"/>
        </w:numPr>
      </w:pPr>
      <w:r>
        <w:t xml:space="preserve">Background Research</w:t>
      </w:r>
      <w:r>
        <w:br/>
      </w:r>
      <w:r>
        <w:t xml:space="preserve">   2.1 Relevant Research Papers</w:t>
      </w:r>
      <w:r>
        <w:br/>
      </w:r>
      <w:r>
        <w:t xml:space="preserve">   2.2 Why the RQ Is of Interest (Research Gap)</w:t>
      </w:r>
    </w:p>
    <w:p>
      <w:pPr>
        <w:numPr>
          <w:ilvl w:val="0"/>
          <w:numId w:val="1001"/>
        </w:numPr>
      </w:pPr>
      <w:r>
        <w:t xml:space="preserve">Visualisation</w:t>
      </w:r>
      <w:r>
        <w:br/>
      </w:r>
      <w:r>
        <w:t xml:space="preserve">   3.1 Primary Graph (Generated from R Script)</w:t>
      </w:r>
      <w:r>
        <w:br/>
      </w:r>
      <w:r>
        <w:t xml:space="preserve">   3.2 Additional Data Understanding</w:t>
      </w:r>
      <w:r>
        <w:br/>
      </w:r>
      <w:r>
        <w:t xml:space="preserve">   3.3 Useful Information for Interpreting the Dataset</w:t>
      </w:r>
    </w:p>
    <w:p>
      <w:pPr>
        <w:numPr>
          <w:ilvl w:val="0"/>
          <w:numId w:val="1001"/>
        </w:numPr>
      </w:pPr>
      <w:r>
        <w:t xml:space="preserve">Analysis</w:t>
      </w:r>
      <w:r>
        <w:br/>
      </w:r>
      <w:r>
        <w:t xml:space="preserve">   4.1 Statistical Test and Output</w:t>
      </w:r>
      <w:r>
        <w:br/>
      </w:r>
      <w:r>
        <w:t xml:space="preserve">   4.2 Hypothesis Decision and Interpretation</w:t>
      </w:r>
    </w:p>
    <w:p>
      <w:pPr>
        <w:numPr>
          <w:ilvl w:val="0"/>
          <w:numId w:val="1001"/>
        </w:numPr>
      </w:pPr>
      <w:r>
        <w:t xml:space="preserve">Evaluation – Group’s Experience</w:t>
      </w:r>
      <w:r>
        <w:br/>
      </w:r>
      <w:r>
        <w:t xml:space="preserve">   5.1 What Went Well</w:t>
      </w:r>
      <w:r>
        <w:br/>
      </w:r>
      <w:r>
        <w:t xml:space="preserve">   5.2 Points for Improvement</w:t>
      </w:r>
      <w:r>
        <w:br/>
      </w:r>
      <w:r>
        <w:t xml:space="preserve">   5.3 Group Time Management</w:t>
      </w:r>
      <w:r>
        <w:br/>
      </w:r>
      <w:r>
        <w:t xml:space="preserve">   5.4 Project’s Overall Judgement</w:t>
      </w:r>
      <w:r>
        <w:br/>
      </w:r>
      <w:r>
        <w:t xml:space="preserve">   5.5 Comment on GitHub Log Output</w:t>
      </w:r>
    </w:p>
    <w:p>
      <w:pPr>
        <w:numPr>
          <w:ilvl w:val="0"/>
          <w:numId w:val="1001"/>
        </w:numPr>
      </w:pPr>
      <w:r>
        <w:t xml:space="preserve">Conclusions</w:t>
      </w:r>
      <w:r>
        <w:br/>
      </w:r>
      <w:r>
        <w:t xml:space="preserve">   6.1 Results Explained</w:t>
      </w:r>
      <w:r>
        <w:br/>
      </w:r>
      <w:r>
        <w:t xml:space="preserve">   6.2 Interpretation</w:t>
      </w:r>
      <w:r>
        <w:br/>
      </w:r>
      <w:r>
        <w:t xml:space="preserve">   6.3 Future Work and Limitations</w:t>
      </w:r>
    </w:p>
    <w:p>
      <w:pPr>
        <w:numPr>
          <w:ilvl w:val="0"/>
          <w:numId w:val="1001"/>
        </w:numPr>
      </w:pPr>
      <w:r>
        <w:t xml:space="preserve">Reference List (Harvard Format)</w:t>
      </w:r>
    </w:p>
    <w:p>
      <w:pPr>
        <w:numPr>
          <w:ilvl w:val="0"/>
          <w:numId w:val="1001"/>
        </w:numPr>
      </w:pPr>
      <w:r>
        <w:t xml:space="preserve">Appendices</w:t>
      </w:r>
      <w:r>
        <w:br/>
      </w:r>
      <w:r>
        <w:t xml:space="preserve">   8.1 R Code for Analysis and Visualisation</w:t>
      </w:r>
      <w:r>
        <w:br/>
      </w:r>
      <w:r>
        <w:t xml:space="preserve">   8.2 GitHub Log Output</w:t>
      </w:r>
    </w:p>
    <w:p>
      <w:r>
        <w:pict>
          <v:rect style="width:0;height:1.5pt" o:hralign="center" o:hrstd="t" o:hr="t"/>
        </w:pict>
      </w:r>
    </w:p>
    <w:bookmarkEnd w:id="23"/>
    <w:bookmarkStart w:id="28" w:name="introduction"/>
    <w:p>
      <w:pPr>
        <w:pStyle w:val="Heading1"/>
      </w:pPr>
      <w:r>
        <w:t xml:space="preserve">1. Introduction</w:t>
      </w:r>
    </w:p>
    <w:bookmarkStart w:id="24" w:name="X0beea0286c6ead36dffc43d5c9e7eac4999ecf3"/>
    <w:p>
      <w:pPr>
        <w:pStyle w:val="Heading2"/>
      </w:pPr>
      <w:r>
        <w:t xml:space="preserve">1.1 Problem Statement and Research Motivation</w:t>
      </w:r>
    </w:p>
    <w:p>
      <w:pPr>
        <w:pStyle w:val="FirstParagraph"/>
      </w:pPr>
      <w:r>
        <w:t xml:space="preserve">Breast cancer remains one of the most significant global health challenges, with early detection being critical for improving survival rates. Tumour characteristics—including size, shape, and texture—play a crucial role in distinguishing malignant tumours from benign ones. Among these characteristics, the</w:t>
      </w:r>
      <w:r>
        <w:t xml:space="preserve"> </w:t>
      </w:r>
      <w:r>
        <w:rPr>
          <w:b/>
          <w:bCs/>
        </w:rPr>
        <w:t xml:space="preserve">mean radius (radius_mean)</w:t>
      </w:r>
      <w:r>
        <w:t xml:space="preserve"> </w:t>
      </w:r>
      <w:r>
        <w:t xml:space="preserve">provides insight into tumour size and potential aggressiveness. Understanding whether malignant tumours typically have a larger radius_mean can improve both diagnostic accuracy and clinical decision‑making. This study uses a publicly available Kaggle dataset to investigate whether tumour radius alone may serve as a meaningful indicator for classification.</w:t>
      </w:r>
    </w:p>
    <w:bookmarkEnd w:id="24"/>
    <w:bookmarkStart w:id="25" w:name="the-dataset"/>
    <w:p>
      <w:pPr>
        <w:pStyle w:val="Heading2"/>
      </w:pPr>
      <w:r>
        <w:t xml:space="preserve">1.2 The Dataset</w:t>
      </w:r>
    </w:p>
    <w:p>
      <w:pPr>
        <w:pStyle w:val="FirstParagraph"/>
      </w:pPr>
      <w:r>
        <w:t xml:space="preserve">The dataset used in this study is the</w:t>
      </w:r>
      <w:r>
        <w:t xml:space="preserve"> </w:t>
      </w:r>
      <w:r>
        <w:rPr>
          <w:i/>
          <w:iCs/>
        </w:rPr>
        <w:t xml:space="preserve">cancer-data</w:t>
      </w:r>
      <w:r>
        <w:t xml:space="preserve"> </w:t>
      </w:r>
      <w:r>
        <w:t xml:space="preserve">dataset from Kaggle, which contains measurements derived from digitised breast tissue images. Each entry includes a diagnosis label—</w:t>
      </w:r>
      <w:r>
        <w:rPr>
          <w:b/>
          <w:bCs/>
        </w:rPr>
        <w:t xml:space="preserve">M (malignant)</w:t>
      </w:r>
      <w:r>
        <w:t xml:space="preserve"> </w:t>
      </w:r>
      <w:r>
        <w:t xml:space="preserve">or</w:t>
      </w:r>
      <w:r>
        <w:t xml:space="preserve"> </w:t>
      </w:r>
      <w:r>
        <w:rPr>
          <w:b/>
          <w:bCs/>
        </w:rPr>
        <w:t xml:space="preserve">B (benign)</w:t>
      </w:r>
      <w:r>
        <w:t xml:space="preserve">—alongside numerous numerical predictors such as radius_mean, texture_mean, and smoothness_mean. Because the dataset is well‑structured and includes sufficient representation of both tumour types, it is suitable for analysing whether tumour radius helps distinguish between malignant and benign cases.</w:t>
      </w:r>
    </w:p>
    <w:bookmarkEnd w:id="25"/>
    <w:bookmarkStart w:id="26" w:name="research-question"/>
    <w:p>
      <w:pPr>
        <w:pStyle w:val="Heading2"/>
      </w:pPr>
      <w:r>
        <w:t xml:space="preserve">1.3 Research Question</w:t>
      </w:r>
    </w:p>
    <w:p>
      <w:pPr>
        <w:pStyle w:val="FirstParagraph"/>
      </w:pPr>
      <w:r>
        <w:rPr>
          <w:b/>
          <w:bCs/>
        </w:rPr>
        <w:t xml:space="preserve">Does the mean tumour radius (radius_mean) differ significantly between malignant and benign breast tumours?</w:t>
      </w:r>
      <w:r>
        <w:br/>
      </w:r>
      <w:r>
        <w:t xml:space="preserve">This study aims to determine whether tumour size, measured by radius_mean, can be used as a meaningful distinguishing factor in diagnosis.</w:t>
      </w:r>
    </w:p>
    <w:bookmarkEnd w:id="26"/>
    <w:bookmarkStart w:id="27" w:name="null-and-alternative-hypotheses-h0h1"/>
    <w:p>
      <w:pPr>
        <w:pStyle w:val="Heading2"/>
      </w:pPr>
      <w:r>
        <w:t xml:space="preserve">1.4 Null and Alternative Hypotheses (H0/H1)</w:t>
      </w:r>
    </w:p>
    <w:p>
      <w:pPr>
        <w:pStyle w:val="FirstParagraph"/>
      </w:pPr>
      <w:r>
        <w:rPr>
          <w:b/>
          <w:bCs/>
        </w:rPr>
        <w:t xml:space="preserve">Null Hypothesis (H0):</w:t>
      </w:r>
      <w:r>
        <w:t xml:space="preserve"> </w:t>
      </w:r>
      <w:r>
        <w:t xml:space="preserve">There is no significant difference in the mean tumour radius between malignant and benign tumours. The average radius_mean is assumed to be equal for both groups, implying that tumour size alone is not a reliable diagnostic indicator.</w:t>
      </w:r>
    </w:p>
    <w:p>
      <w:pPr>
        <w:pStyle w:val="BodyText"/>
      </w:pPr>
      <w:r>
        <w:rPr>
          <w:b/>
          <w:bCs/>
        </w:rPr>
        <w:t xml:space="preserve">Alternative Hypothesis (H1):</w:t>
      </w:r>
      <w:r>
        <w:t xml:space="preserve"> </w:t>
      </w:r>
      <w:r>
        <w:t xml:space="preserve">There is a significant difference in the mean tumour radius between malignant and benign tumours. It is expected that malignant tumours have a larger mean radius, suggesting that tumour size plays a role in diagnosis.</w:t>
      </w:r>
    </w:p>
    <w:p>
      <w:r>
        <w:pict>
          <v:rect style="width:0;height:1.5pt" o:hralign="center" o:hrstd="t" o:hr="t"/>
        </w:pict>
      </w:r>
    </w:p>
    <w:bookmarkEnd w:id="27"/>
    <w:bookmarkEnd w:id="28"/>
    <w:bookmarkStart w:id="31" w:name="background-research"/>
    <w:p>
      <w:pPr>
        <w:pStyle w:val="Heading1"/>
      </w:pPr>
      <w:r>
        <w:t xml:space="preserve">2. Background Research</w:t>
      </w:r>
    </w:p>
    <w:bookmarkStart w:id="29" w:name="relevant-research-papers"/>
    <w:p>
      <w:pPr>
        <w:pStyle w:val="Heading2"/>
      </w:pPr>
      <w:r>
        <w:t xml:space="preserve">2.1 Relevant Research Papers</w:t>
      </w:r>
    </w:p>
    <w:p>
      <w:pPr>
        <w:pStyle w:val="FirstParagraph"/>
      </w:pPr>
      <w:r>
        <w:rPr>
          <w:i/>
          <w:iCs/>
        </w:rPr>
        <w:t xml:space="preserve">Unfinished – content should be added here by the group.</w:t>
      </w:r>
    </w:p>
    <w:bookmarkEnd w:id="29"/>
    <w:bookmarkStart w:id="30" w:name="why-the-rq-is-of-interest-research-gap"/>
    <w:p>
      <w:pPr>
        <w:pStyle w:val="Heading2"/>
      </w:pPr>
      <w:r>
        <w:t xml:space="preserve">2.2 Why the RQ Is of Interest (Research Gap)</w:t>
      </w:r>
    </w:p>
    <w:p>
      <w:pPr>
        <w:pStyle w:val="FirstParagraph"/>
      </w:pPr>
      <w:r>
        <w:rPr>
          <w:i/>
          <w:iCs/>
        </w:rPr>
        <w:t xml:space="preserve">Unfinished – content should be added here by the group.</w:t>
      </w:r>
    </w:p>
    <w:p>
      <w:r>
        <w:pict>
          <v:rect style="width:0;height:1.5pt" o:hralign="center" o:hrstd="t" o:hr="t"/>
        </w:pict>
      </w:r>
    </w:p>
    <w:bookmarkEnd w:id="30"/>
    <w:bookmarkEnd w:id="31"/>
    <w:bookmarkStart w:id="35" w:name="visualisation"/>
    <w:p>
      <w:pPr>
        <w:pStyle w:val="Heading1"/>
      </w:pPr>
      <w:r>
        <w:t xml:space="preserve">3. Visualisation</w:t>
      </w:r>
    </w:p>
    <w:bookmarkStart w:id="32" w:name="appropriate-graph-for-the-rq"/>
    <w:p>
      <w:pPr>
        <w:pStyle w:val="Heading2"/>
      </w:pPr>
      <w:r>
        <w:t xml:space="preserve">3.1 Appropriate Graph for the RQ</w:t>
      </w:r>
    </w:p>
    <w:p>
      <w:pPr>
        <w:pStyle w:val="FirstParagraph"/>
      </w:pPr>
      <w:r>
        <w:t xml:space="preserve">A bar plot effectively displays the difference in mean radius between malignant and benign tumours. Since the research question focuses on comparing two group means, a bar chart offers a clear visual comparison that complements the statistical analysis.</w:t>
      </w:r>
    </w:p>
    <w:bookmarkEnd w:id="32"/>
    <w:bookmarkStart w:id="33" w:name="X35b16e36b4c1bf441b69e792565c21c0b31f21a"/>
    <w:p>
      <w:pPr>
        <w:pStyle w:val="Heading2"/>
      </w:pPr>
      <w:r>
        <w:t xml:space="preserve">3.2 Additional Information for Data Understanding</w:t>
      </w:r>
    </w:p>
    <w:p>
      <w:pPr>
        <w:pStyle w:val="FirstParagraph"/>
      </w:pPr>
      <w:r>
        <w:t xml:space="preserve">A histogram helps illustrate the distribution of tumour radius values. Although slightly right‑skewed, the distribution remains suitable for comparison.</w:t>
      </w:r>
    </w:p>
    <w:p>
      <w:pPr>
        <w:pStyle w:val="BodyText"/>
      </w:pPr>
      <w:r>
        <w:rPr>
          <w:b/>
          <w:bCs/>
        </w:rPr>
        <w:t xml:space="preserve">X-axis:</w:t>
      </w:r>
      <w:r>
        <w:t xml:space="preserve"> </w:t>
      </w:r>
      <w:r>
        <w:t xml:space="preserve">Tumour radius (mm)</w:t>
      </w:r>
      <w:r>
        <w:br/>
      </w:r>
      <w:r>
        <w:rPr>
          <w:b/>
          <w:bCs/>
        </w:rPr>
        <w:t xml:space="preserve">Y-axis:</w:t>
      </w:r>
      <w:r>
        <w:t xml:space="preserve"> </w:t>
      </w:r>
      <w:r>
        <w:t xml:space="preserve">Frequency</w:t>
      </w:r>
    </w:p>
    <w:bookmarkEnd w:id="33"/>
    <w:bookmarkStart w:id="34" w:name="useful-insights"/>
    <w:p>
      <w:pPr>
        <w:pStyle w:val="Heading2"/>
      </w:pPr>
      <w:r>
        <w:t xml:space="preserve">3.3 Useful Insights</w:t>
      </w:r>
    </w:p>
    <w:p>
      <w:pPr>
        <w:pStyle w:val="FirstParagraph"/>
      </w:pPr>
      <w:r>
        <w:t xml:space="preserve">The bar plot shows a noticeable difference in mean tumour radius between malignant and benign cases. This aligns closely with the statistical findings from the t-test, reinforcing the conclusion that malignant tumours tend to have larger radii.</w:t>
      </w:r>
    </w:p>
    <w:p>
      <w:r>
        <w:pict>
          <v:rect style="width:0;height:1.5pt" o:hralign="center" o:hrstd="t" o:hr="t"/>
        </w:pict>
      </w:r>
    </w:p>
    <w:bookmarkEnd w:id="34"/>
    <w:bookmarkEnd w:id="35"/>
    <w:bookmarkStart w:id="38" w:name="analysis"/>
    <w:p>
      <w:pPr>
        <w:pStyle w:val="Heading1"/>
      </w:pPr>
      <w:r>
        <w:t xml:space="preserve">4. Analysis</w:t>
      </w:r>
    </w:p>
    <w:bookmarkStart w:id="36" w:name="statistical-test-used"/>
    <w:p>
      <w:pPr>
        <w:pStyle w:val="Heading2"/>
      </w:pPr>
      <w:r>
        <w:t xml:space="preserve">4.1 Statistical Test Used</w:t>
      </w:r>
    </w:p>
    <w:p>
      <w:pPr>
        <w:pStyle w:val="FirstParagraph"/>
      </w:pPr>
      <w:r>
        <w:t xml:space="preserve">To determine whether tumour radius differs between malignant and benign tumours, a</w:t>
      </w:r>
      <w:r>
        <w:t xml:space="preserve"> </w:t>
      </w:r>
      <w:r>
        <w:rPr>
          <w:b/>
          <w:bCs/>
        </w:rPr>
        <w:t xml:space="preserve">Welch’s Independent t-test</w:t>
      </w:r>
      <w:r>
        <w:t xml:space="preserve"> </w:t>
      </w:r>
      <w:r>
        <w:t xml:space="preserve">was used. This test is appropriate because the research question compares means between two independent groups, and radius_mean is a continuous variable. The dataset shows unequal group sizes and potentially unequal variances, making Welch’s method more reliable.</w:t>
      </w:r>
    </w:p>
    <w:bookmarkEnd w:id="36"/>
    <w:bookmarkStart w:id="37" w:name="hypothesis-decision"/>
    <w:p>
      <w:pPr>
        <w:pStyle w:val="Heading2"/>
      </w:pPr>
      <w:r>
        <w:t xml:space="preserve">4.2 Hypothesis Decision</w:t>
      </w:r>
    </w:p>
    <w:p>
      <w:pPr>
        <w:pStyle w:val="FirstParagraph"/>
      </w:pPr>
      <w:r>
        <w:t xml:space="preserve">The t-test produced a highly significant result (t = –22.18, p &lt; 2.2e‑16). Since the p‑value is far below the 0.05 significance threshold, the null hypothesis is rejected. This confirms a strong and meaningful difference in average tumour radius between malignant and benign tumours. The confidence interval (–5.77 to –4.83) further supports the conclusion that malignant tumours tend to be larger.</w:t>
      </w:r>
    </w:p>
    <w:p>
      <w:r>
        <w:pict>
          <v:rect style="width:0;height:1.5pt" o:hralign="center" o:hrstd="t" o:hr="t"/>
        </w:pict>
      </w:r>
    </w:p>
    <w:bookmarkEnd w:id="37"/>
    <w:bookmarkEnd w:id="38"/>
    <w:bookmarkStart w:id="44" w:name="evaluation-groups-experience"/>
    <w:p>
      <w:pPr>
        <w:pStyle w:val="Heading1"/>
      </w:pPr>
      <w:r>
        <w:t xml:space="preserve">5. Evaluation – Group’s Experience</w:t>
      </w:r>
    </w:p>
    <w:bookmarkStart w:id="39" w:name="what-went-well"/>
    <w:p>
      <w:pPr>
        <w:pStyle w:val="Heading2"/>
      </w:pPr>
      <w:r>
        <w:t xml:space="preserve">5.1 What Went Well</w:t>
      </w:r>
    </w:p>
    <w:p>
      <w:pPr>
        <w:pStyle w:val="FirstParagraph"/>
      </w:pPr>
      <w:r>
        <w:t xml:space="preserve">The group communicated effectively from the beginning, ensuring everyone understood their responsibilities. Early planning, regular check‑ins, and shared documents helped maintain smooth progress. Members contributed their individual strengths, which enhanced the overall quality of the project. Collaboration, feedback, and timely issue‑solving were consistent throughout.</w:t>
      </w:r>
    </w:p>
    <w:bookmarkEnd w:id="39"/>
    <w:bookmarkStart w:id="40" w:name="points-for-improvement"/>
    <w:p>
      <w:pPr>
        <w:pStyle w:val="Heading2"/>
      </w:pPr>
      <w:r>
        <w:t xml:space="preserve">5.2 Points for Improvement</w:t>
      </w:r>
    </w:p>
    <w:p>
      <w:pPr>
        <w:pStyle w:val="FirstParagraph"/>
      </w:pPr>
      <w:r>
        <w:t xml:space="preserve">There were moments where task ownership was unclear, causing delays or duplicated work. Clearer planning and more structured task allocation would reduce these issues. Some technical decisions were finalised too late, leading to unnecessary revisions. Improving code review standards and documentation would also benefit the workflow.</w:t>
      </w:r>
    </w:p>
    <w:bookmarkEnd w:id="40"/>
    <w:bookmarkStart w:id="41" w:name="time-management"/>
    <w:p>
      <w:pPr>
        <w:pStyle w:val="Heading2"/>
      </w:pPr>
      <w:r>
        <w:t xml:space="preserve">5.3 Time Management</w:t>
      </w:r>
    </w:p>
    <w:p>
      <w:pPr>
        <w:pStyle w:val="FirstParagraph"/>
      </w:pPr>
      <w:r>
        <w:t xml:space="preserve">The group generally managed time well by starting early and experimenting with different tools. However, some tasks took longer than expected due to technical challenges. More frequent progress checks, early testing, and smaller task breakdowns would further improve time efficiency.</w:t>
      </w:r>
    </w:p>
    <w:bookmarkEnd w:id="41"/>
    <w:bookmarkStart w:id="42" w:name="projects-overall-judgement"/>
    <w:p>
      <w:pPr>
        <w:pStyle w:val="Heading2"/>
      </w:pPr>
      <w:r>
        <w:t xml:space="preserve">5.4 Project’s Overall Judgement</w:t>
      </w:r>
    </w:p>
    <w:p>
      <w:pPr>
        <w:pStyle w:val="FirstParagraph"/>
      </w:pPr>
      <w:r>
        <w:t xml:space="preserve">The project successfully met both technical and learning objectives. The final output was functional, well‑structured, and aligned with requirements. The group gained valuable experience in teamwork, communication, version control, and iterative development.</w:t>
      </w:r>
    </w:p>
    <w:bookmarkEnd w:id="42"/>
    <w:bookmarkStart w:id="43" w:name="comment-on-the-github-log-output"/>
    <w:p>
      <w:pPr>
        <w:pStyle w:val="Heading2"/>
      </w:pPr>
      <w:r>
        <w:t xml:space="preserve">5.5 Comment on the GitHub Log Output</w:t>
      </w:r>
    </w:p>
    <w:p>
      <w:pPr>
        <w:pStyle w:val="FirstParagraph"/>
      </w:pPr>
      <w:r>
        <w:rPr>
          <w:i/>
          <w:iCs/>
        </w:rPr>
        <w:t xml:space="preserve">Unfinished – section to be completed by the group.</w:t>
      </w:r>
    </w:p>
    <w:p>
      <w:r>
        <w:pict>
          <v:rect style="width:0;height:1.5pt" o:hralign="center" o:hrstd="t" o:hr="t"/>
        </w:pict>
      </w:r>
    </w:p>
    <w:bookmarkEnd w:id="43"/>
    <w:bookmarkEnd w:id="44"/>
    <w:bookmarkStart w:id="48" w:name="conclusions"/>
    <w:p>
      <w:pPr>
        <w:pStyle w:val="Heading1"/>
      </w:pPr>
      <w:r>
        <w:t xml:space="preserve">6. Conclusions</w:t>
      </w:r>
    </w:p>
    <w:bookmarkStart w:id="45" w:name="results-explained"/>
    <w:p>
      <w:pPr>
        <w:pStyle w:val="Heading2"/>
      </w:pPr>
      <w:r>
        <w:t xml:space="preserve">6.1 Results Explained</w:t>
      </w:r>
    </w:p>
    <w:p>
      <w:pPr>
        <w:pStyle w:val="FirstParagraph"/>
      </w:pPr>
      <w:r>
        <w:t xml:space="preserve">The analysis revealed a clear and statistically significant difference in tumour radius between malignant and benign tumours. Malignant tumours had a noticeably larger average radius, with a p‑value far below conventional thresholds. The confidence interval confirmed that the difference is both reliable and practically meaningful.</w:t>
      </w:r>
    </w:p>
    <w:bookmarkEnd w:id="45"/>
    <w:bookmarkStart w:id="46" w:name="interpretation-of-the-results"/>
    <w:p>
      <w:pPr>
        <w:pStyle w:val="Heading2"/>
      </w:pPr>
      <w:r>
        <w:t xml:space="preserve">6.2 Interpretation of the Results</w:t>
      </w:r>
    </w:p>
    <w:p>
      <w:pPr>
        <w:pStyle w:val="FirstParagraph"/>
      </w:pPr>
      <w:r>
        <w:t xml:space="preserve">These results indicate that tumour radius is a strong differentiating feature between malignant and benign cases. Larger radius values are closely associated with malignancy, suggesting diagnostic value. This finding supports the use of simple size‑based indicators as part of early detection strategies.</w:t>
      </w:r>
    </w:p>
    <w:bookmarkEnd w:id="46"/>
    <w:bookmarkStart w:id="47" w:name="limitations-and-future-work"/>
    <w:p>
      <w:pPr>
        <w:pStyle w:val="Heading2"/>
      </w:pPr>
      <w:r>
        <w:t xml:space="preserve">6.3 Limitations and Future Work</w:t>
      </w:r>
    </w:p>
    <w:p>
      <w:pPr>
        <w:pStyle w:val="FirstParagraph"/>
      </w:pPr>
      <w:r>
        <w:t xml:space="preserve">Although tumour radius is a strong indicator, it should not be used alone for diagnosis. Future work could explore multivariate models combining shape, texture, and radius features. Additional datasets and clinical validation would help improve generalisability.</w:t>
      </w:r>
    </w:p>
    <w:p>
      <w:r>
        <w:pict>
          <v:rect style="width:0;height:1.5pt" o:hralign="center" o:hrstd="t" o:hr="t"/>
        </w:pict>
      </w:r>
    </w:p>
    <w:bookmarkEnd w:id="47"/>
    <w:bookmarkEnd w:id="48"/>
    <w:bookmarkStart w:id="49" w:name="reference-list"/>
    <w:p>
      <w:pPr>
        <w:pStyle w:val="Heading1"/>
      </w:pPr>
      <w:r>
        <w:t xml:space="preserve">7. Reference List</w:t>
      </w:r>
    </w:p>
    <w:p>
      <w:pPr>
        <w:pStyle w:val="FirstParagraph"/>
      </w:pPr>
      <w:r>
        <w:rPr>
          <w:i/>
          <w:iCs/>
        </w:rPr>
        <w:t xml:space="preserve">To be completed in Harvard format.</w:t>
      </w:r>
    </w:p>
    <w:p>
      <w:r>
        <w:pict>
          <v:rect style="width:0;height:1.5pt" o:hralign="center" o:hrstd="t" o:hr="t"/>
        </w:pict>
      </w:r>
    </w:p>
    <w:bookmarkEnd w:id="49"/>
    <w:bookmarkStart w:id="52" w:name="appendices"/>
    <w:p>
      <w:pPr>
        <w:pStyle w:val="Heading1"/>
      </w:pPr>
      <w:r>
        <w:t xml:space="preserve">8. Appendices</w:t>
      </w:r>
    </w:p>
    <w:bookmarkStart w:id="50" w:name="appendix-a-r-code"/>
    <w:p>
      <w:pPr>
        <w:pStyle w:val="Heading2"/>
      </w:pPr>
      <w:r>
        <w:t xml:space="preserve">Appendix A: R Code</w:t>
      </w:r>
    </w:p>
    <w:p>
      <w:pPr>
        <w:pStyle w:val="FirstParagraph"/>
      </w:pPr>
      <w:r>
        <w:rPr>
          <w:i/>
          <w:iCs/>
        </w:rPr>
        <w:t xml:space="preserve">(Insert cleaned R script here.)</w:t>
      </w:r>
    </w:p>
    <w:bookmarkEnd w:id="50"/>
    <w:bookmarkStart w:id="51" w:name="appendix-b-github-log-output"/>
    <w:p>
      <w:pPr>
        <w:pStyle w:val="Heading2"/>
      </w:pPr>
      <w:r>
        <w:t xml:space="preserve">Appendix B: GitHub Log Output</w:t>
      </w:r>
    </w:p>
    <w:p>
      <w:pPr>
        <w:pStyle w:val="FirstParagraph"/>
      </w:pPr>
      <w:r>
        <w:rPr>
          <w:i/>
          <w:iCs/>
        </w:rPr>
        <w:t xml:space="preserve">(Insert GitHub logs and analysis.)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2025-12-08T12:19:44Z</dcterms:created>
  <dcterms:modified xsi:type="dcterms:W3CDTF">2025-12-08T12:19:44Z</dcterms:modified>
</cp:coreProperties>
</file>

<file path=docProps/custom.xml><?xml version="1.0" encoding="utf-8"?>
<Properties xmlns="http://schemas.openxmlformats.org/officeDocument/2006/custom-properties" xmlns:vt="http://schemas.openxmlformats.org/officeDocument/2006/docPropsVTypes"/>
</file>