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  <w:spacing w:line="240" w:lineRule="auto"/>
        <w:rPr>
          <w:b/>
          <w:u w:val="single"/>
          <w:sz w:val="24"/>
          <w:rFonts w:ascii="Times New Roman" w:hAnsi="Times New Roman"/>
        </w:rPr>
      </w:pPr>
      <w:r>
        <w:rPr>
          <w:b/>
          <w:u w:val="single"/>
          <w:sz w:val="24"/>
          <w:rFonts w:ascii="Times New Roman" w:hAnsi="Times New Roman"/>
        </w:rPr>
        <w:t>SURAT REKOMENDASI PEMBELIAN BBM</w:t>
      </w:r>
    </w:p>
    <w:p>
      <w:pPr>
        <w:jc w:val="center"/>
        <w:spacing w:line="240" w:lineRule="auto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No. : ${nomor_naskah }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Dasar Hukum :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01. Undang-Undang Nomor 22 tahun 2001 tentang Minyak dan Gas Bumi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02. Undang-Undang Nomor 32 tahun 2004 tentang Pemerintahan Daerah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03. Perpres Nomor 15 tahun 2012 tentang harga Jual Eceran dan Konsumen Pengguna Jenis Bahan Bakar Minyak Tertentu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Dengan ini memberikan rekomendasi kepada :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b/>
          <w:sz w:val="24"/>
          <w:rFonts w:ascii="Times New Roman" w:hAnsi="Times New Roman"/>
        </w:rPr>
        <w:t xml:space="preserve">Nama</w:t>
        <w:tab/>
        <w:t xml:space="preserve">:</w:t>
        <w:tab/>
        <w:t xml:space="preserve">HADJI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Nik</w:t>
        <w:tab/>
        <w:t xml:space="preserve">:</w:t>
        <w:tab/>
        <w:t xml:space="preserve">7372012404950001</w:t>
      </w:r>
    </w:p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Alamat Usaha</w:t>
        <w:tab/>
        <w:t xml:space="preserve">:</w:t>
        <w:tab/>
        <w:t xml:space="preserve">Jl. Poros Lompoe No. 45, Parepare, RT 02 / RW 03</w:t>
      </w:r>
    </w:p>
    <w:r>
      <w:rPr>
        <w:rFonts w:ascii="Times New Roman" w:cs="Times New Roman" w:eastAsia="Times New Roman" w:hAnsi="Times New Roman"/>
        <w:sz w:val="24"/>
        <w:szCs w:val="24"/>
      </w:rPr>
      <w:t xml:space="preserve">Konsumen Pengguna</w:t>
      <w:tab/>
      <w:t xml:space="preserve">:</w:t>
      <w:tab/>
    </w:r>
    <w:r>
      <w:rPr>
        <w:rFonts w:ascii="Times New Roman" w:cs="Times New Roman" w:eastAsia="Times New Roman" w:hAnsi="Times New Roman"/>
        <w:strike w:val="1"/>
        <w:sz w:val="24"/>
        <w:szCs w:val="24"/>
      </w:rPr>
      <w:t xml:space="preserve">Usaha Mikro</w:t>
    </w:r>
    <w:r>
      <w:rPr>
        <w:rFonts w:ascii="Times New Roman" w:cs="Times New Roman" w:eastAsia="Times New Roman" w:hAnsi="Times New Roman"/>
        <w:sz w:val="24"/>
        <w:szCs w:val="24"/>
      </w:rPr>
      <w:t xml:space="preserve"> / </w:t>
    </w:r>
    <w:r>
      <w:rPr>
        <w:rFonts w:ascii="Times New Roman" w:cs="Times New Roman" w:eastAsia="Times New Roman" w:hAnsi="Times New Roman"/>
        <w:sz w:val="24"/>
        <w:szCs w:val="24"/>
      </w:rPr>
      <w:t xml:space="preserve">pertanian</w:t>
    </w:r>
    <w:r>
      <w:rPr>
        <w:rFonts w:ascii="Times New Roman" w:cs="Times New Roman" w:eastAsia="Times New Roman" w:hAnsi="Times New Roman"/>
        <w:sz w:val="24"/>
        <w:szCs w:val="24"/>
      </w:rPr>
      <w:t xml:space="preserve"> / </w:t>
    </w:r>
    <w:r>
      <w:rPr>
        <w:rFonts w:ascii="Times New Roman" w:cs="Times New Roman" w:eastAsia="Times New Roman" w:hAnsi="Times New Roman"/>
        <w:strike w:val="1"/>
        <w:sz w:val="24"/>
        <w:szCs w:val="24"/>
      </w:rPr>
      <w:t xml:space="preserve">perikanan</w:t>
    </w:r>
    <w:r>
      <w:rPr>
        <w:rFonts w:ascii="Times New Roman" w:cs="Times New Roman" w:eastAsia="Times New Roman" w:hAnsi="Times New Roman"/>
        <w:sz w:val="24"/>
        <w:szCs w:val="24"/>
      </w:rPr>
      <w:t xml:space="preserve"> / </w:t>
    </w:r>
    <w:r>
      <w:rPr>
        <w:rFonts w:ascii="Times New Roman" w:cs="Times New Roman" w:eastAsia="Times New Roman" w:hAnsi="Times New Roman"/>
        <w:strike w:val="1"/>
        <w:sz w:val="24"/>
        <w:szCs w:val="24"/>
      </w:rPr>
      <w:t xml:space="preserve">pelayanan umum</w:t>
    </w:r>
    <w:p>
      <w:pPr>
        <w:tabs>
          <w:tab w:val="left" w:pos="2977"/>
          <w:tab w:val="left" w:pos="3261"/>
        </w:tabs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Jenis Usaha/Kegiatan</w:t>
        <w:tab/>
        <w:t xml:space="preserve">:</w:t>
        <w:tab/>
        <w:t xml:space="preserve">Usaha Mikro / Pertanian Padi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04.  Berdasarkan hasil verifikasi, kebutuhan BBM digunakan untuk sarana sebagai berikut: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ook w:val="04A0"/>
      </w:tblPr>
      <w:tblGrid>
        <w:gridCol w:w="500"/>
        <w:gridCol w:w="1200"/>
        <w:gridCol w:w="800"/>
        <w:gridCol w:w="1500"/>
        <w:gridCol w:w="1200"/>
        <w:gridCol w:w="1200"/>
        <w:gridCol w:w="1200"/>
        <w:gridCol w:w="1400"/>
      </w:tblGrid>
      <w:tr>
        <w:trPr>
          <w:tblHeader/>
        </w:trPr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Jenis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Fungsi Alat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BBM Jenis Tertentu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Kebutuhan BBM Jenis Tertentu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Jam atau hari Operasi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Konsumen BBM Jenis Tertentu Liter Per (Jam/Hari/Minggu/Bulan)</w:t>
            </w:r>
          </w:p>
        </w:tc>
      </w:tr>
      <w:tr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Mesin Pompa Air Traktor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Unit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Pengolahan Lahan Pertanian</w:t>
            </w:r>
          </w:p>
        </w:tc>
        <w:tc>
          <w:p>
            <w:pPr>
              <w:rPr>
                <w:sz w:val="20"/>
              </w:rPr>
            </w:pPr>
            <w:r>
              <w:rPr>
                <w:sz w:val="20"/>
              </w:rPr>
              <w:t xml:space="preserve">Solar (BBM Bersubsidi)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 Liter / Hari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Jam / Hari</w:t>
            </w:r>
          </w:p>
        </w:tc>
        <w:tc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60 Liter / Bulan</w:t>
            </w:r>
          </w:p>
        </w:tc>
      </w:tr>
      <w:tr>
        <w:tc>
          <w:tcPr>
            <w:gridSpan w:val="7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</w:p>
        </w:tc>
        <w:tc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60 Liter / Bulan</w:t>
            </w:r>
          </w:p>
        </w:tc>
      </w:tr>
    </w:tbl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05. Diberikan alokasi Volume Bensin (Gasoline) RON 88 / Minyak Solar (Gas Oli):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Sejumlah</w:t>
        <w:tab/>
        <w:t xml:space="preserve">:   60 Liter / Bulan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Tempat pengambilan</w:t>
        <w:tab/>
        <w:t xml:space="preserve">:   Lembaga Penyalur (SPBU/APMS/SPDN/SPBN)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Nomor Lembaga Penyalur</w:t>
        <w:tab/>
        <w:t xml:space="preserve">:  7491172</w:t>
      </w:r>
    </w:p>
    <w:p>
      <w:pPr>
        <w:tabs>
          <w:tab w:val="left" w:pos="3969"/>
          <w:tab w:val="left" w:pos="4253"/>
        </w:tabs>
        <w:spacing w:line="240" w:lineRule="auto"/>
        <w:ind w:left="1276" w:hanging="283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 xml:space="preserve">Lokasi</w:t>
        <w:tab/>
        <w:t xml:space="preserve">:   Jl. Jend.M.Yusuf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06. Masa berlaku surat rekomendasi sampai dengan 1 bulan</w:t>
      </w:r>
    </w:p>
    <w:p>
      <w:pPr>
        <w:spacing w:line="240" w:lineRule="auto"/>
        <w:ind w:left="720" w:firstLine="0"/>
        <w:rPr>
          <w:sz w:val="24"/>
          <w:rFonts w:ascii="Times New Roman" w:hAnsi="Times New Roman"/>
        </w:rPr>
      </w:pPr>
      <w:r>
        <w:rPr>
          <w:sz w:val="24"/>
          <w:rFonts w:ascii="Times New Roman" w:hAnsi="Times New Roman"/>
        </w:rPr>
        <w:t>07. Apabila penggunaan surat rekomendasi ini tidak sebagaimana mestinya, maka akan dicabut dan ditindaklanjuti dengan proses hukum sesuai dengan ketentuan dan peraturan perundang-undangan.</w:t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8.2677165354329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6" w:type="default"/>
      <w:headerReference r:id="rId7" w:type="first"/>
      <w:footerReference r:id="rId8" w:type="first"/>
      <w:pgSz w:h="20160" w:w="12240" w:orient="portrait"/>
      <w:pgMar w:bottom="1440.0000000000002" w:top="1440.0000000000002" w:left="1440.0000000000002" w:right="1440.0000000000002" w:header="453.5433070866142" w:footer="453.5433070866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D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E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0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1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