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Phase 1 Review Package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7"/>
        <w:gridCol w:w="6279"/>
      </w:tblGrid>
      <w:tr>
        <w:trPr>
          <w:cantSplit/>
          <w:tblHeader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</w:t>
            </w:r>
          </w:p>
        </w:tc>
        <w:tc>
          <w:tcPr>
            <w:tcW w:type="dxa" w:w="6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Owner, DCU Facility Management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</w:t>
            </w:r>
          </w:p>
        </w:tc>
        <w:tc>
          <w:tcPr>
            <w:tcW w:type="dxa" w:w="6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1 — Solution Architecture and UX Design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2026-10-14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Decision requested</w:t>
            </w:r>
          </w:p>
        </w:tc>
        <w:tc>
          <w:tcPr>
            <w:tcW w:type="dxa" w:w="6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Approve the Phase 1 design and authorise Phase 2 (Backend and Database Development)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A. Executive summary</w:t>
      </w:r>
    </w:p>
    <w:p>
      <w:pPr>
        <w:spacing w:after="120"/>
      </w:pPr>
      <w:r>
        <w:t xml:space="preserve">Phase 1 turns the approved requirements (BRD/TRD v0.2) into a complete design that developers can build without guessing. It covers: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the system is put together</w:t>
      </w:r>
      <w:r>
        <w:t xml:space="preserve"> (solution architecture).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data is stored</w:t>
      </w:r>
      <w:r>
        <w:t xml:space="preserve"> (database design with ERD).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Which operations the app can perform</w:t>
      </w:r>
      <w:r>
        <w:t xml:space="preserve"> (API/RPC specification).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it is protected</w:t>
      </w:r>
      <w:r>
        <w:t xml:space="preserve"> (security design).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every screen looks like</w:t>
      </w:r>
      <w:r>
        <w:t xml:space="preserve"> (UX/UI specification with wireframes).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it will be tested</w:t>
      </w:r>
      <w:r>
        <w:t xml:space="preserve"> (test plan for all 54 mandatory tests).</w:t>
      </w:r>
    </w:p>
    <w:p>
      <w:pPr>
        <w:spacing w:after="120"/>
      </w:pPr>
      <w:r>
        <w:t xml:space="preserve">As instructed, </w:t>
      </w:r>
      <w:r>
        <w:rPr>
          <w:b/>
          <w:bCs/>
        </w:rPr>
        <w:t xml:space="preserve">no application code was written</w:t>
      </w:r>
      <w:r>
        <w:t xml:space="preserve"> and no Supabase project was created. A local Git repository now holds all documents.</w:t>
      </w:r>
    </w:p>
    <w:p>
      <w:pPr>
        <w:spacing w:after="120"/>
      </w:pPr>
      <w:r>
        <w:t xml:space="preserve">The design keeps the two promises from Phase 0: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Courts and tables can never be double-booked.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Fair-use rules cannot be bypassed.</w:t>
      </w:r>
    </w:p>
    <w:p>
      <w:pPr>
        <w:spacing w:after="120"/>
      </w:pPr>
      <w:r>
        <w:t xml:space="preserve">Both are enforced inside the database, so the phone app cannot get around them.</w:t>
      </w:r>
    </w:p>
    <w:p>
      <w:pPr>
        <w:spacing w:after="120"/>
      </w:pPr>
      <w:r>
        <w:rPr>
          <w:b/>
          <w:bCs/>
        </w:rPr>
        <w:t xml:space="preserve">Recommendation:</w:t>
      </w:r>
      <w:r>
        <w:t xml:space="preserve"> approve Phase 1 and start Phase 2.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B. Deliverables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5"/>
        <w:gridCol w:w="2691"/>
        <w:gridCol w:w="5290"/>
      </w:tblGrid>
      <w:tr>
        <w:trPr>
          <w:cantSplit/>
          <w:tblHeader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Document</w:t>
            </w:r>
          </w:p>
        </w:tc>
        <w:tc>
          <w:tcPr>
            <w:tcW w:type="dxa" w:w="2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Path</w:t>
            </w:r>
          </w:p>
        </w:tc>
        <w:tc>
          <w:tcPr>
            <w:tcW w:type="dxa" w:w="5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Solution Architecture</w:t>
            </w:r>
          </w:p>
        </w:tc>
        <w:tc>
          <w:tcPr>
            <w:tcW w:type="dxa" w:w="2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docs/architecture/SOLUTION-ARCHITECTURE.md</w:t>
            </w:r>
          </w:p>
        </w:tc>
        <w:tc>
          <w:tcPr>
            <w:tcW w:type="dxa" w:w="5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Context and container diagrams, environments, frontend structure, backend conventions, lock order, scheduled jobs, 4 key flow diagrams, deployment pipeline, 12 architecture decisions, email-sender design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Design</w:t>
            </w:r>
          </w:p>
        </w:tc>
        <w:tc>
          <w:tcPr>
            <w:tcW w:type="dxa" w:w="2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docs/architecture/DATABASE-DESIGN.md</w:t>
            </w:r>
            <w:r>
              <w:rPr>
                <w:sz w:val="17"/>
                <w:szCs w:val="17"/>
              </w:rPr>
              <w:t xml:space="preserve"> (+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diagrams/ERD.png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5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ERD, design-level DDL for 12 tables, status transition matrix, RLS policies and grants, function inventory (33 RPCs), seed data, migration plan (13 migrations), integrity checks, retention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/ RPC Specification</w:t>
            </w:r>
          </w:p>
        </w:tc>
        <w:tc>
          <w:tcPr>
            <w:tcW w:type="dxa" w:w="2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docs/architecture/API-RPC-SPECIFICATION.md</w:t>
            </w:r>
          </w:p>
        </w:tc>
        <w:tc>
          <w:tcPr>
            <w:tcW w:type="dxa" w:w="5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Calling conventions, 34 business error codes, authentication operations, input/output contract for every RPC, Realtime events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 Design</w:t>
            </w:r>
          </w:p>
        </w:tc>
        <w:tc>
          <w:tcPr>
            <w:tcW w:type="dxa" w:w="2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docs/architecture/SECURITY-DESIGN.md</w:t>
            </w:r>
          </w:p>
        </w:tc>
        <w:tc>
          <w:tcPr>
            <w:tcW w:type="dxa" w:w="5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classification, trust boundaries, 22-item threat model, Auth configuration, authorization model, function security checklist, CSP and headers, email security (SPF/DKIM/DMARC), privacy (UU PDP), audit, incident outline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UX / UI Specification</w:t>
            </w:r>
          </w:p>
        </w:tc>
        <w:tc>
          <w:tcPr>
            <w:tcW w:type="dxa" w:w="2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docs/design/UX-UI-SPECIFICATION.md</w:t>
            </w:r>
          </w:p>
        </w:tc>
        <w:tc>
          <w:tcPr>
            <w:tcW w:type="dxa" w:w="5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Design principles, navigation, colour tokens with </w:t>
            </w:r>
            <w:r>
              <w:rPr>
                <w:b/>
                <w:bCs/>
                <w:sz w:val="17"/>
                <w:szCs w:val="17"/>
              </w:rPr>
              <w:t xml:space="preserve">measured</w:t>
            </w:r>
            <w:r>
              <w:rPr>
                <w:sz w:val="17"/>
                <w:szCs w:val="17"/>
              </w:rPr>
              <w:t xml:space="preserve"> contrast ratios, typography, components, wireframes for all screens (user and admin), global states, copy deck, accessibility and responsive rules, tap counts per journey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 Plan</w:t>
            </w:r>
          </w:p>
        </w:tc>
        <w:tc>
          <w:tcPr>
            <w:tcW w:type="dxa" w:w="2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docs/testing/TEST-PLAN.md</w:t>
            </w:r>
          </w:p>
        </w:tc>
        <w:tc>
          <w:tcPr>
            <w:tcW w:type="dxa" w:w="5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Tools per level, environments and test data, concurrency harness, entry/exit criteria, defect severity, all 54 tests specified, device matrix, UAT plan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Decision log</w:t>
            </w:r>
          </w:p>
        </w:tc>
        <w:tc>
          <w:tcPr>
            <w:tcW w:type="dxa" w:w="2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docs/requirements/OPEN-DECISIONS.md</w:t>
            </w:r>
            <w:r>
              <w:rPr>
                <w:sz w:val="17"/>
                <w:szCs w:val="17"/>
              </w:rPr>
              <w:t xml:space="preserve"> v0.3</w:t>
            </w:r>
          </w:p>
        </w:tc>
        <w:tc>
          <w:tcPr>
            <w:tcW w:type="dxa" w:w="5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Decisions of 2026-10-14 recorded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Word versions</w:t>
            </w:r>
          </w:p>
        </w:tc>
        <w:tc>
          <w:tcPr>
            <w:tcW w:type="dxa" w:w="2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docs/**/DCU-Active-*-v1.0.docx</w:t>
            </w:r>
          </w:p>
        </w:tc>
        <w:tc>
          <w:tcPr>
            <w:tcW w:type="dxa" w:w="5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 offline review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C. Key design choices (plain English)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Only "doors", no "windows".</w:t>
      </w:r>
      <w:r>
        <w:t xml:space="preserve"> The app can reach the database only through a fixed list of 33 approved operations. The tables themselves are not reachable from the internet. </w:t>
      </w:r>
      <w:r>
        <w:rPr>
          <w:b/>
          <w:bCs/>
        </w:rPr>
        <w:t xml:space="preserve">[Refines TRD]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Two locks against double booking.</w:t>
      </w:r>
      <w:r>
        <w:t xml:space="preserve"> Each booking briefly "locks" the courts or tables involved, and the database also refuses overlapping bookings on its own.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Every action re-checks the user's status.</w:t>
      </w:r>
      <w:r>
        <w:t xml:space="preserve"> Deactivation, role changes, and domain or settings changes take effect on the very next click.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No-shows are released two ways:</w:t>
      </w:r>
      <w:r>
        <w:t xml:space="preserve"> a job every minute, plus an on-the-spot check whenever someone books.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Company email check at sign-up</w:t>
      </w:r>
      <w:r>
        <w:t xml:space="preserve">, inside the login service itself, not just on the form.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Admins can change booking settings safely.</w:t>
      </w:r>
      <w:r>
        <w:t xml:space="preserve"> There are fixed safe ranges, a reason is required, and every change is logged with the old value.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 booking takes 3–6 taps</w:t>
      </w:r>
      <w:r>
        <w:t xml:space="preserve"> after choosing a facility, including a review step that shows the cancellation deadline and the check-in time.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Accessible by design.</w:t>
      </w:r>
      <w:r>
        <w:t xml:space="preserve"> Every colour pair was measured against WCAG AA. Status is always shown in words, not only colour.</w:t>
      </w:r>
    </w:p>
    <w:p>
      <w:pPr>
        <w:pStyle w:val="Heading2"/>
        <w:keepNext/>
      </w:pPr>
      <w:r>
        <w:t xml:space="preserve">C.1 Refinements to the TRD (please note)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96"/>
        <w:gridCol w:w="4350"/>
      </w:tblGrid>
      <w:tr>
        <w:trPr>
          <w:cantSplit/>
          <w:tblHeader/>
        </w:trPr>
        <w:tc>
          <w:tcPr>
            <w:tcW w:type="dxa" w:w="5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Refinement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5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Tables moved to a non-exposed schema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</w:t>
            </w:r>
            <w:r>
              <w:rPr>
                <w:sz w:val="17"/>
                <w:szCs w:val="17"/>
              </w:rPr>
              <w:t xml:space="preserve">); only functions are exposed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Smaller attack surface; no accidental data exposure</w:t>
            </w:r>
          </w:p>
        </w:tc>
      </w:tr>
      <w:tr>
        <w:trPr>
          <w:cantSplit/>
        </w:trPr>
        <w:tc>
          <w:tcPr>
            <w:tcW w:type="dxa" w:w="5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Own-data reads run under row-level security (INVOKER); writes run as controlled functions (DEFINER)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Two independent protections for privacy</w:t>
            </w:r>
          </w:p>
        </w:tc>
      </w:tr>
      <w:tr>
        <w:trPr>
          <w:cantSplit/>
        </w:trPr>
        <w:tc>
          <w:tcPr>
            <w:tcW w:type="dxa" w:w="5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New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api.health</w:t>
            </w:r>
            <w:r>
              <w:rPr>
                <w:sz w:val="17"/>
                <w:szCs w:val="17"/>
              </w:rPr>
              <w:t xml:space="preserve"> operation for uptime monitoring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Lets monitoring detect a stopped no-show job</w:t>
            </w:r>
          </w:p>
        </w:tc>
      </w:tr>
      <w:tr>
        <w:trPr>
          <w:cantSplit/>
        </w:trPr>
        <w:tc>
          <w:tcPr>
            <w:tcW w:type="dxa" w:w="5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New operational tables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rate_limit_counters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integrity_check_runs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Implements TRD rate limiting and the daily integrity checks</w:t>
            </w:r>
          </w:p>
        </w:tc>
      </w:tr>
      <w:tr>
        <w:trPr>
          <w:cantSplit/>
        </w:trPr>
        <w:tc>
          <w:tcPr>
            <w:tcW w:type="dxa" w:w="5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reference format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DCU-YYMMDD-XXXX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Readable, unambiguous characters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D. Screens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Public:</w:t>
      </w:r>
      <w:r>
        <w:t xml:space="preserve"> Login, Register (shows the allowed domains), Verify email (6-digit code), Confirm-email link page, Forgot/Reset password, Account disabled.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User:</w:t>
      </w:r>
      <w:r>
        <w:t xml:space="preserve"> Home (check-in banner, next booking), Facilities, Facility booking (date strip + time grid + duration on one screen), Review sheet, Confirmation, My bookings (Upcoming/History), Booking detail, Profile and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Admin:</w:t>
      </w:r>
      <w:r>
        <w:t xml:space="preserve"> Dashboard, Bookings, Facility blocks (with conflict check), Users, Settings (Booking settings + Email domains), Audit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Global:</w:t>
      </w:r>
      <w:r>
        <w:t xml:space="preserve"> Offline, error, empty, update prompt, not found, loading.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E. Risks to watch in Phase 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6"/>
        <w:gridCol w:w="5500"/>
      </w:tblGrid>
      <w:tr>
        <w:trPr>
          <w:cantSplit/>
          <w:tblHeader/>
        </w:trPr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Verification emails from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DCU@danamon.co.id</w:t>
            </w:r>
            <w:r>
              <w:rPr>
                <w:sz w:val="17"/>
                <w:szCs w:val="17"/>
              </w:rPr>
              <w:t xml:space="preserve"> blocked by corporate mail filters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Agree the sending method with Danamon IT early (Architecture §11); allow-list requests to Adira and Home Credit</w:t>
            </w:r>
          </w:p>
        </w:tc>
      </w:tr>
      <w:tr>
        <w:trPr>
          <w:cantSplit/>
        </w:trPr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"Before User Created" hook behaves differently than documented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Short spike at the start of Phase 2; a database-trigger fallback is designed</w:t>
            </w:r>
          </w:p>
        </w:tc>
      </w:tr>
      <w:tr>
        <w:trPr>
          <w:cantSplit/>
        </w:trPr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Very new library versions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Versions pinned; compatibility checked on npm (all peer dependencies satisfied); TypeScript held at 6.0.3</w:t>
            </w:r>
          </w:p>
        </w:tc>
      </w:tr>
      <w:tr>
        <w:trPr>
          <w:cantSplit/>
        </w:trPr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Corporate users on old phones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Mobile-first, light pages; performance budgets in the test plan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F. Readiness for Phase 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1"/>
        <w:gridCol w:w="5745"/>
      </w:tblGrid>
      <w:tr>
        <w:trPr>
          <w:cantSplit/>
          <w:tblHeader/>
        </w:trPr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5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Requirements and design complete</w:t>
            </w:r>
          </w:p>
        </w:tc>
        <w:tc>
          <w:tcPr>
            <w:tcW w:type="dxa" w:w="5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Decisions needed for Phase 2</w:t>
            </w:r>
          </w:p>
        </w:tc>
        <w:tc>
          <w:tcPr>
            <w:tcW w:type="dxa" w:w="5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region (Singapore), Git, admin domain, sender address</w:t>
            </w:r>
          </w:p>
        </w:tc>
      </w:tr>
      <w:tr>
        <w:trPr>
          <w:cantSplit/>
        </w:trPr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Development tools on this PC</w:t>
            </w:r>
          </w:p>
        </w:tc>
        <w:tc>
          <w:tcPr>
            <w:tcW w:type="dxa" w:w="5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Node 24.19.0, npm 11.17.0, Docker 29.8.2, Git 2.55.0</w:t>
            </w:r>
          </w:p>
        </w:tc>
      </w:tr>
      <w:tr>
        <w:trPr>
          <w:cantSplit/>
        </w:trPr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Local Git repository</w:t>
            </w:r>
          </w:p>
        </w:tc>
        <w:tc>
          <w:tcPr>
            <w:tcW w:type="dxa" w:w="5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branch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GitHub remote</w:t>
            </w:r>
          </w:p>
        </w:tc>
        <w:tc>
          <w:tcPr>
            <w:tcW w:type="dxa" w:w="5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✖ GitHub CLI not installed. Needs an empty </w:t>
            </w:r>
            <w:r>
              <w:rPr>
                <w:b/>
                <w:bCs/>
                <w:sz w:val="17"/>
                <w:szCs w:val="17"/>
              </w:rPr>
              <w:t xml:space="preserve">private</w:t>
            </w:r>
            <w:r>
              <w:rPr>
                <w:sz w:val="17"/>
                <w:szCs w:val="17"/>
              </w:rPr>
              <w:t xml:space="preserve"> repository URL, or permission to install the GitHub CLI.</w:t>
            </w:r>
          </w:p>
        </w:tc>
      </w:tr>
      <w:tr>
        <w:trPr>
          <w:cantSplit/>
        </w:trPr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sending method (OD-03)</w:t>
            </w:r>
          </w:p>
        </w:tc>
        <w:tc>
          <w:tcPr>
            <w:tcW w:type="dxa" w:w="5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✖ Pending Danamon IT. Development can proceed with the local mail catcher; only real-email staging tests wait.</w:t>
            </w:r>
          </w:p>
        </w:tc>
      </w:tr>
      <w:tr>
        <w:trPr>
          <w:cantSplit/>
        </w:trPr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Names of the first 2 admins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@danamon.co.id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5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✖ Needed before the staging seed (mid Phase 2)</w:t>
            </w:r>
          </w:p>
        </w:tc>
      </w:tr>
      <w:tr>
        <w:trPr>
          <w:cantSplit/>
        </w:trPr>
        <w:tc>
          <w:tcPr>
            <w:tcW w:type="dxa" w:w="4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account/organisation for staging and production</w:t>
            </w:r>
          </w:p>
        </w:tc>
        <w:tc>
          <w:tcPr>
            <w:tcW w:type="dxa" w:w="5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✖ Who creates it, and on which billing account? Needed when Phase 2 reaches staging. Local development does not need it.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G. Questions for the Product Owner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Approve the Phase 1 design?</w:t>
      </w:r>
      <w:r>
        <w:t xml:space="preserve"> (architecture, database, API, security, screens, test plan)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GitHub:</w:t>
      </w:r>
      <w:r>
        <w:t xml:space="preserve"> please create an empty private repository (e.g.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dcu-active</w:t>
      </w:r>
      <w:r>
        <w:t xml:space="preserve">) and send the URL. Alternatively, allow installation of the GitHub CLI so it can be created from here.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Supabase account:</w:t>
      </w:r>
      <w:r>
        <w:t xml:space="preserve"> who owns the Supabase organisation (and billing) for the staging and production projects?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Danamon IT contact</w:t>
      </w:r>
      <w:r>
        <w:t xml:space="preserve"> for the email sending method of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DCU@danamon.co.id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First 2 admins:</w:t>
      </w:r>
      <w:r>
        <w:t xml:space="preserve"> names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@danamon.co.id</w:t>
      </w:r>
      <w:r>
        <w:t xml:space="preserve"> emails.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Branding (optional):</w:t>
      </w:r>
      <w:r>
        <w:t xml:space="preserve"> DCU logo and brand colours. Without them, the accessible neutral palette is used.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Setting ranges</w:t>
      </w:r>
      <w:r>
        <w:t xml:space="preserve"> (cancellation cutoff 0–240 min, horizon 0–30 days, etc.): accept as designed?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H. Recommended decision</w:t>
      </w:r>
    </w:p>
    <w:p>
      <w:pPr>
        <w:spacing w:after="120"/>
      </w:pPr>
      <w:r>
        <w:rPr>
          <w:b/>
          <w:bCs/>
        </w:rPr>
        <w:t xml:space="preserve">APPROVE Phase 1</w:t>
      </w:r>
      <w:r>
        <w:t xml:space="preserve"> and authorise Phase 2.</w:t>
      </w:r>
    </w:p>
    <w:p>
      <w:pPr>
        <w:spacing w:after="120"/>
      </w:pPr>
      <w:r>
        <w:t xml:space="preserve">Questions 2–5 can be answered during Phase 2. Local development (database, functions, tests) can start immediately without them.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Version 1.0 · Draft for review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Phase 1 Review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Review Package</dc:title>
  <dc:creator>DCU Active project team</dc:creator>
  <cp:lastModifiedBy>Un-named</cp:lastModifiedBy>
  <cp:revision>1</cp:revision>
  <dcterms:created xsi:type="dcterms:W3CDTF">2026-10-13T19:01:59.423Z</dcterms:created>
  <dcterms:modified xsi:type="dcterms:W3CDTF">2026-10-13T19:01:59.426Z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