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B4C13" w14:textId="02E4D9F3" w:rsidR="00C26D8F" w:rsidRPr="00C26D8F" w:rsidRDefault="00C26D8F" w:rsidP="00C26D8F">
      <w:pPr>
        <w:jc w:val="thaiDistribute"/>
      </w:pPr>
      <w:r w:rsidRPr="00C26D8F">
        <w:rPr>
          <w:cs/>
        </w:rPr>
        <w:t xml:space="preserve">คำพิพากษาศาลฎีกาที่ </w:t>
      </w:r>
      <w:r w:rsidRPr="00C26D8F">
        <w:t>6233/2564</w:t>
      </w:r>
    </w:p>
    <w:p w14:paraId="0EE240E2" w14:textId="77777777" w:rsidR="00C26D8F" w:rsidRPr="00C26D8F" w:rsidRDefault="00C26D8F" w:rsidP="00C26D8F">
      <w:pPr>
        <w:jc w:val="thaiDistribute"/>
      </w:pPr>
      <w:r w:rsidRPr="00C26D8F">
        <w:rPr>
          <w:cs/>
        </w:rPr>
        <w:t xml:space="preserve">จำเลยประกอบกิจการธนาคารพาณิชย์ และให้บริการอื่นที่เกี่ยวกับการเงิน รับฝากเงิน และให้บริการการใช้หรือโอนเงินทาง </w:t>
      </w:r>
      <w:r w:rsidRPr="00C26D8F">
        <w:t xml:space="preserve">xxx application online </w:t>
      </w:r>
      <w:r w:rsidRPr="00C26D8F">
        <w:rPr>
          <w:cs/>
        </w:rPr>
        <w:t xml:space="preserve">ผ่านโทรศัพท์เคลื่อนที่และคอมพิวเตอร์ จึงเป็นผู้รับฝากซึ่งเป็นผู้มีวิชาชีพเฉพาะกิจการค้าขายหรืออาชีวะ จำต้องใช้ความระมัดระวังและใช้ฝีมือเท่าที่เป็นธรรมดาจะต้องใช้และสมควรจะต้องใช้ในกิจการค้าขายหรืออาชีวะอย่างนั้น ตาม ป.พ.พ. มาตรา </w:t>
      </w:r>
      <w:r w:rsidRPr="00C26D8F">
        <w:t xml:space="preserve">659 </w:t>
      </w:r>
      <w:r w:rsidRPr="00C26D8F">
        <w:rPr>
          <w:cs/>
        </w:rPr>
        <w:t xml:space="preserve">วรรคสาม ปรากฏว่า ระหว่างเวลา </w:t>
      </w:r>
      <w:r w:rsidRPr="00C26D8F">
        <w:t xml:space="preserve">23.41 </w:t>
      </w:r>
      <w:r w:rsidRPr="00C26D8F">
        <w:rPr>
          <w:cs/>
        </w:rPr>
        <w:t xml:space="preserve">นาฬิกา ของวันที่ </w:t>
      </w:r>
      <w:r w:rsidRPr="00C26D8F">
        <w:t xml:space="preserve">7 </w:t>
      </w:r>
      <w:r w:rsidRPr="00C26D8F">
        <w:rPr>
          <w:cs/>
        </w:rPr>
        <w:t xml:space="preserve">กรกฎาคม </w:t>
      </w:r>
      <w:r w:rsidRPr="00C26D8F">
        <w:t xml:space="preserve">2560 </w:t>
      </w:r>
      <w:r w:rsidRPr="00C26D8F">
        <w:rPr>
          <w:cs/>
        </w:rPr>
        <w:t xml:space="preserve">ถึงเวลา </w:t>
      </w:r>
      <w:r w:rsidRPr="00C26D8F">
        <w:t xml:space="preserve">2.01 </w:t>
      </w:r>
      <w:r w:rsidRPr="00C26D8F">
        <w:rPr>
          <w:cs/>
        </w:rPr>
        <w:t xml:space="preserve">นาฬิกา ของวันที่ </w:t>
      </w:r>
      <w:r w:rsidRPr="00C26D8F">
        <w:t xml:space="preserve">8 </w:t>
      </w:r>
      <w:r w:rsidRPr="00C26D8F">
        <w:rPr>
          <w:cs/>
        </w:rPr>
        <w:t xml:space="preserve">กรกฎาคม </w:t>
      </w:r>
      <w:r w:rsidRPr="00C26D8F">
        <w:t xml:space="preserve">2560 </w:t>
      </w:r>
      <w:r w:rsidRPr="00C26D8F">
        <w:rPr>
          <w:cs/>
        </w:rPr>
        <w:t xml:space="preserve">เงินในบัญชีเงินฝากของโจทก์ถูกโอนไปยังบัญชีเงินฝากของผู้อื่นจำนวน </w:t>
      </w:r>
      <w:r w:rsidRPr="00C26D8F">
        <w:t xml:space="preserve">3 </w:t>
      </w:r>
      <w:r w:rsidRPr="00C26D8F">
        <w:rPr>
          <w:cs/>
        </w:rPr>
        <w:t xml:space="preserve">บัญชี รวม </w:t>
      </w:r>
      <w:r w:rsidRPr="00C26D8F">
        <w:t xml:space="preserve">12 </w:t>
      </w:r>
      <w:r w:rsidRPr="00C26D8F">
        <w:rPr>
          <w:cs/>
        </w:rPr>
        <w:t xml:space="preserve">ครั้ง รวมเป็นเงิน </w:t>
      </w:r>
      <w:r w:rsidRPr="00C26D8F">
        <w:t xml:space="preserve">1,099,999 </w:t>
      </w:r>
      <w:r w:rsidRPr="00C26D8F">
        <w:rPr>
          <w:cs/>
        </w:rPr>
        <w:t xml:space="preserve">บาท การโอนเงินที่เป็นการโอนจำนวนย่อยหลายครั้งติดต่อกันในช่วงเวลาเดียวกันในเวลากลางคืน จากบัญชีเงินฝากของโจทก์ไปยังบัญชีเงินฝากของบุคคลอื่นโดยเป็นบัญชีเดียวกันหรือชื่อบัญชีเดียวกัน ย่อมเป็นพฤติกรรมในการทำธุรกรรมทางการเงินที่ผิดปกติ จำเลยซึ่งเป็นผู้มีวิชาชีพเฉพาะกิจการค้าขายหรืออาชีวะต้องทราบถึงวิธีการดังกล่าวและย่อมสังเกตได้ว่าเป็นเรื่องผิดปกติและอาจเป็นการกระทำของมิจฉาชีพผู้ประกอบอาชญากรรมทางอิเล็กทรอนิกส์ จำเลยจึงควรมีมาตรการที่เหมาะสมในการป้องกันการกระทำธุรกรรมทางการเงินโดยไม่ชอบดังกล่าวด้วย การที่จำเลยแจ้งเตือนให้แก่ลูกค้าผู้ใช้บริการต่าง ๆ ระมัดระวังอีเมลหลอกลวงจากมิจฉาชีพหรือที่เรียกว่า </w:t>
      </w:r>
      <w:r w:rsidRPr="00C26D8F">
        <w:t xml:space="preserve">Phishing Email </w:t>
      </w:r>
      <w:r w:rsidRPr="00C26D8F">
        <w:rPr>
          <w:cs/>
        </w:rPr>
        <w:t xml:space="preserve">มาตลอด โดยมีข้อความแจ้งเตือนว่า "แจ้งเตือน กรุณาอย่าหลงเชื่ออีเมลปลอมจากมิจฉาชีพ </w:t>
      </w:r>
      <w:r w:rsidRPr="00C26D8F">
        <w:t xml:space="preserve">xxx </w:t>
      </w:r>
      <w:r w:rsidRPr="00C26D8F">
        <w:rPr>
          <w:cs/>
        </w:rPr>
        <w:t xml:space="preserve">ไม่มีนโยบายในการส่งอีเมลใด ๆ เพื่อให้ลูกค้ากรอกข้อมูล ชื่อผู้ใช้งาน </w:t>
      </w:r>
      <w:r w:rsidRPr="00C26D8F">
        <w:t xml:space="preserve">Password </w:t>
      </w:r>
      <w:r w:rsidRPr="00C26D8F">
        <w:rPr>
          <w:cs/>
        </w:rPr>
        <w:t>หรือข้อมูลส่วนตัวอื่น ๆ โดยเด็ดขาด" และ "แจ้งเตือนโปรดระวังอีเมลแอบอ้าง (</w:t>
      </w:r>
      <w:r w:rsidRPr="00C26D8F">
        <w:t xml:space="preserve">Phishing Email) </w:t>
      </w:r>
      <w:r w:rsidRPr="00C26D8F">
        <w:rPr>
          <w:cs/>
        </w:rPr>
        <w:t xml:space="preserve">ว่าเป็นอีเมลจากธนาคารหลอกลวงให้คลิกเพื่อไปยังเว็บไซต์ปลอมเพื่อความปลอดภัยกรุณาพิมพ์ </w:t>
      </w:r>
      <w:r w:rsidRPr="00C26D8F">
        <w:t xml:space="preserve">www.xxx.com" </w:t>
      </w:r>
      <w:r w:rsidRPr="00C26D8F">
        <w:rPr>
          <w:cs/>
        </w:rPr>
        <w:t>ตามเว็บไซต์ของจำเลยในการเข้าระบบ ลูกค้าต้องใช้ชื่อผู้ใช้ (</w:t>
      </w:r>
      <w:r w:rsidRPr="00C26D8F">
        <w:t xml:space="preserve">Username) </w:t>
      </w:r>
      <w:r w:rsidRPr="00C26D8F">
        <w:rPr>
          <w:cs/>
        </w:rPr>
        <w:t>และรหัสผ่าน (</w:t>
      </w:r>
      <w:r w:rsidRPr="00C26D8F">
        <w:t xml:space="preserve">Password) </w:t>
      </w:r>
      <w:r w:rsidRPr="00C26D8F">
        <w:rPr>
          <w:cs/>
        </w:rPr>
        <w:t>ที่ลูกค้าสมัครไว้กับธนาคารเข้าสู่ระบบและต้องใส่รหัสโอทีพี (</w:t>
      </w:r>
      <w:r w:rsidRPr="00C26D8F">
        <w:t xml:space="preserve">OTP </w:t>
      </w:r>
      <w:r w:rsidRPr="00C26D8F">
        <w:rPr>
          <w:cs/>
        </w:rPr>
        <w:t xml:space="preserve">หรือ </w:t>
      </w:r>
      <w:r w:rsidRPr="00C26D8F">
        <w:t xml:space="preserve">One Time Password) </w:t>
      </w:r>
      <w:r w:rsidRPr="00C26D8F">
        <w:rPr>
          <w:cs/>
        </w:rPr>
        <w:t xml:space="preserve">ที่ระบบธนาคารส่งให้ที่หมายเลขโทรศัพท์ของลูกค้าเพื่อยืนยันการทำธุรกรรมอีกขั้นตอนหนึ่งจึงจะสามารถทำธุรกรรมต่าง ๆ เกี่ยวกับบัญชีของตนได้ มาตรการดังกล่าวเป็นมาตรการป้องกันความเสียหายแก่การทำธุรกรรมทางการเงินทางอิเล็กทรอนิกส์เพื่อไม่ให้ลูกค้าที่ใช้บริการถูกมิจฉาชีพหลอกลวงเพื่อให้ส่งมอบชื่อผู้ใช้และรหัสผ่านให้เพื่อนำไปใช้กระทำธุรกรรมทางการเงินโดยไม่ชอบซึ่งเป็นข้อควรระวังในด้านของลูกค้า แต่มาตรฐานของจำเลยในการป้องกันการโอนเงินที่เป็นการทำธุรกรรมทางการเงินทางอิเล็กทรอนิกส์ที่ไม่ชอบดังกล่าวควรจะมีอยู่อย่างไร จำเลยควรจะป้องกันหรือระงับยับยั้งการโอนเงินที่มีความผิดปกติดังกล่าวเมื่อมีการโอนเงินผ่านไปแล้วกี่ครั้ง และเหตุใดพนักงานของจำเลยเพิ่งจะโทรศัพท์แจ้งเตือนไปยังโจทก์หลังจากที่มีการโอนเงินดังกล่าวครั้งที่ </w:t>
      </w:r>
      <w:r w:rsidRPr="00C26D8F">
        <w:t xml:space="preserve">12 </w:t>
      </w:r>
      <w:r w:rsidRPr="00C26D8F">
        <w:rPr>
          <w:cs/>
        </w:rPr>
        <w:t xml:space="preserve">และโอนเงินไปรวมเป็นเงิน </w:t>
      </w:r>
      <w:r w:rsidRPr="00C26D8F">
        <w:t xml:space="preserve">1,099,999 </w:t>
      </w:r>
      <w:r w:rsidRPr="00C26D8F">
        <w:rPr>
          <w:cs/>
        </w:rPr>
        <w:t xml:space="preserve">บาท แล้ว ซึ่งมาตรการในการป้องกันความเสียหายที่เหมาะสมหรือสมควรดังกล่าวอยู่ในความรู้เห็นของจำเลยฝ่ายเดียว จำเลยจึงมีภาระการพิสูจน์ในส่วนนี้ แต่จำเลยกลับแสดงให้เห็นว่าจำเลยไม่ได้มีมาตรการในการป้องกันหากเกิดการโอนเงินหรือการทำธุรกรรมทางอิเล็กทรอนิกส์ที่ไม่ชอบในส่วนนี้เลยและไม่ปรากฏว่าจำเลยมีมาตรการในการป้องกันความเสียหายในส่วนนี้อย่างเพียงพอ แม้ในการโอนเงินจำเลยได้มีข้อความแจ้งเตือนไปยังโจทก์ทุกครั้งที่ทำการโอนเงินรวม </w:t>
      </w:r>
      <w:r w:rsidRPr="00C26D8F">
        <w:t xml:space="preserve">12 </w:t>
      </w:r>
      <w:r w:rsidRPr="00C26D8F">
        <w:rPr>
          <w:cs/>
        </w:rPr>
        <w:t xml:space="preserve">ครั้ง และพนักงานของจำเลยได้โทรศัพท์ไปหาโจทก์หลังจากที่มีการโอนเงินครั้งที่ </w:t>
      </w:r>
      <w:r w:rsidRPr="00C26D8F">
        <w:t xml:space="preserve">12 </w:t>
      </w:r>
      <w:r w:rsidRPr="00C26D8F">
        <w:rPr>
          <w:cs/>
        </w:rPr>
        <w:t>แล้ว มาตรการดังกล่าวถือว่าไม่เพียงพอต่อการป้องกันการโอนเงินหรือการทำรายการหรือธุรกรรมทางอิเล็กทรอนิกส์ที่ไม่ชอบ นอกจากนี้ได้ความ</w:t>
      </w:r>
      <w:r w:rsidRPr="00C26D8F">
        <w:rPr>
          <w:cs/>
        </w:rPr>
        <w:lastRenderedPageBreak/>
        <w:t>ว่าโจทก์มิใช่รายแรกที่ถูกหลอกลวงในลักษณะนี้และมีอีกหลายรายที่ถูกหลอกลวงในลักษณะนี้ ย่อมแสดงให้เห็นว่าจำเลยทราบถึงพฤติกรรมการหลอกลวงและวิธีการโอนเงินโดยไม่ชอบดังกล่าวเช่นเดียวกับคดีนี้มาก่อนทั้งเหตุเกิดซ้ำ ๆ กับลูกค้าจำนวนมาก จำเลยซึ่งเป็นผู้มีวิชาชีพเฉพาะกิจการค้าขายหรืออาชีวะและในฐานะที่เป็นผู้ควบคุมระบบมีความสามารถในการตรวจสอบหรือทราบถึงความผิดปกติในการทำรายการต่าง ๆ ได้แต่เพียงฝ่ายเดียวยิ่งต้องเพิ่มความระมัดระวังและหามาตรการในการป้องกันไม่ให้เกิดความเสียหายดังเช่นที่เกิดในคดีนี้อีก หาใช่ว่าหากมีการกรอกชื่อผู้ใช้และรหัสผ่านที่สามารถยืนยันตัวตนได้แล้วบุคคลดังกล่าวจะสามารถดำเนินการธุรกรรมอย่างใดก็ได้โดยจำเลยไม่มีหน้าที่ในการป้องกันไม่ให้มีการโอนเงินที่ไม่ถูกต้องแต่อย่างใดไม่ ดังนั้น จึงไม่อาจรับฟังได้ว่าจำเลยซึ่งเป็นผู้มีวิชาชีพเฉพาะกิจการค้าขายหรืออาชีวะได้ใช้ความระมัดระวังและใช้ฝีมือเท่าที่เป็นธรรมดาจะต้องใช้และสมควรจะต้องใช้ในกิจการ ค้าขายหรืออาชีวะอย่างนั้นแล้ว อย่างไรก็ตามเมื่อโจทก์ได้รับอีเมลที่ไม่ได้มาจากจำเลยและมีข้อความเชื่อมโยงหรือลิงก์ไปยังเว็บไซต์ที่เลียนแบบเว็บไซต์ธนาคารจำเลย และโจทก์กรอกชื่อผู้ใช้ (</w:t>
      </w:r>
      <w:r w:rsidRPr="00C26D8F">
        <w:t xml:space="preserve">username) </w:t>
      </w:r>
      <w:r w:rsidRPr="00C26D8F">
        <w:rPr>
          <w:cs/>
        </w:rPr>
        <w:t>และรหัสผ่าน (</w:t>
      </w:r>
      <w:r w:rsidRPr="00C26D8F">
        <w:t xml:space="preserve">Password) </w:t>
      </w:r>
      <w:r w:rsidRPr="00C26D8F">
        <w:rPr>
          <w:cs/>
        </w:rPr>
        <w:t>ในเว็บไซต์ดังกล่าว ทำให้มีคนร้ายทราบถึงชื่อผู้ใช้ (</w:t>
      </w:r>
      <w:r w:rsidRPr="00C26D8F">
        <w:t xml:space="preserve">username) </w:t>
      </w:r>
      <w:r w:rsidRPr="00C26D8F">
        <w:rPr>
          <w:cs/>
        </w:rPr>
        <w:t>และรหัสผ่าน (</w:t>
      </w:r>
      <w:r w:rsidRPr="00C26D8F">
        <w:t xml:space="preserve">Password) </w:t>
      </w:r>
      <w:r w:rsidRPr="00C26D8F">
        <w:rPr>
          <w:cs/>
        </w:rPr>
        <w:t xml:space="preserve">ของโจทก์ และนำไปใช้สมัคร </w:t>
      </w:r>
      <w:r w:rsidRPr="00C26D8F">
        <w:t xml:space="preserve">xxx App </w:t>
      </w:r>
      <w:r w:rsidRPr="00C26D8F">
        <w:rPr>
          <w:cs/>
        </w:rPr>
        <w:t>ในโทรศัพท์เคลื่อนที่ และโจทก์ยังได้กรอกหมายเลขโอทีพี (</w:t>
      </w:r>
      <w:r w:rsidRPr="00C26D8F">
        <w:t xml:space="preserve">OTP </w:t>
      </w:r>
      <w:r w:rsidRPr="00C26D8F">
        <w:rPr>
          <w:cs/>
        </w:rPr>
        <w:t xml:space="preserve">หรือ </w:t>
      </w:r>
      <w:r w:rsidRPr="00C26D8F">
        <w:t xml:space="preserve">One Time password) </w:t>
      </w:r>
      <w:r w:rsidRPr="00C26D8F">
        <w:rPr>
          <w:cs/>
        </w:rPr>
        <w:t xml:space="preserve">ในเว็บไซต์ดังกล่าวเป็นเหตุให้คนร้ายสามารถสมัครใช้บริการ </w:t>
      </w:r>
      <w:r w:rsidRPr="00C26D8F">
        <w:t xml:space="preserve">xxx App </w:t>
      </w:r>
      <w:r w:rsidRPr="00C26D8F">
        <w:rPr>
          <w:cs/>
        </w:rPr>
        <w:t xml:space="preserve">ได้สำเร็จและเกิดการโอนเงินจากบัญชีเงินฝากของโจทก์ไปยังบัญชีอื่น โจทก์เป็นผู้ใช้บริการธุรกรรมทางการเงินอิเล็กทรอนิกส์ผ่านทางอินเทอร์เน็ตก่อนเกิดเหตุเป็นเวลากว่า </w:t>
      </w:r>
      <w:r w:rsidRPr="00C26D8F">
        <w:t xml:space="preserve">10 </w:t>
      </w:r>
      <w:r w:rsidRPr="00C26D8F">
        <w:rPr>
          <w:cs/>
        </w:rPr>
        <w:t xml:space="preserve">ปี ทั้งตามใบแจ้งรายการบัญชีออมทรัพย์โจทก์ก็ได้ทำธุรกรรมทางการเงินอิเล็กทรอนิกส์ผ่านทางอินเทอร์เน็ตหลายครั้ง โจทก์ย่อมมีความเข้าใจในการทำธุรกรรมทางการเงินผ่านช่องทางดังกล่าวและย่อมทราบถึงคำเตือนของจำเลยตามที่ปรากฏในเว็บไซต์ของจำเลย โจทก์จึงควรมีความระมัดระวังในการตรวจสอบก่อนทำธุรกรรมดังกล่าวมากกว่าที่ปรากฏในคดีนี้ จึงถือว่าโจทก์มีส่วนทำให้เกิดความเสียหายด้วย พฤติกรรมของโจทก์และจำเลยจึงถือว่ามีส่วนทำให้เกิดความเสียหายในคดีนี้ไม่ยิ่งหย่อนกว่ากันและเห็นสมควรกำหนดให้จำเลยต้องรับผิดชดใช้เงินให้แก่โจทก์เป็นเงิน </w:t>
      </w:r>
      <w:r w:rsidRPr="00C26D8F">
        <w:t xml:space="preserve">550,000 </w:t>
      </w:r>
      <w:r w:rsidRPr="00C26D8F">
        <w:rPr>
          <w:cs/>
        </w:rPr>
        <w:t xml:space="preserve">บาท เมื่อค่าเสียหายที่จำเลยต้องรับผิดเป็นหนี้เงินหากชำระล่าช้าย่อมก่อให้เกิดความเสียหายแก่โจทก์ซึ่งค่าเสียหายของหนี้เงินตามปกติย่อมคิดกันในรูปของดอกเบี้ย จึงเห็นควรกำหนดให้จำเลยรับผิดดอกเบี้ยดังกล่าวนับแต่วันที่อ่านคำพิพากษาศาลฎีกาเป็นต้นไป ทั้งนี้ตาม ป.พ.พ. มาตรา </w:t>
      </w:r>
      <w:r w:rsidRPr="00C26D8F">
        <w:t xml:space="preserve">222 </w:t>
      </w:r>
      <w:r w:rsidRPr="00C26D8F">
        <w:rPr>
          <w:cs/>
        </w:rPr>
        <w:t xml:space="preserve">วรรคหนึ่ง โดยควรให้ในอัตราเดียวกับอัตราดอกเบี้ยในระหว่างผิดนัดตาม ป.พ.พ. มาตรา </w:t>
      </w:r>
      <w:r w:rsidRPr="00C26D8F">
        <w:t xml:space="preserve">224 </w:t>
      </w:r>
      <w:r w:rsidRPr="00C26D8F">
        <w:rPr>
          <w:cs/>
        </w:rPr>
        <w:t xml:space="preserve">วรรคหนึ่ง ซึ่งปัจจุบันอยู่ที่อัตราร้อยละ </w:t>
      </w:r>
      <w:r w:rsidRPr="00C26D8F">
        <w:t xml:space="preserve">5 </w:t>
      </w:r>
      <w:r w:rsidRPr="00C26D8F">
        <w:rPr>
          <w:cs/>
        </w:rPr>
        <w:t>ต่อปี</w:t>
      </w:r>
    </w:p>
    <w:p w14:paraId="66049AF2" w14:textId="77777777" w:rsidR="00FD001D" w:rsidRDefault="00FD001D" w:rsidP="00C26D8F">
      <w:pPr>
        <w:jc w:val="thaiDistribute"/>
      </w:pPr>
    </w:p>
    <w:sectPr w:rsidR="00FD001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16121"/>
    <w:multiLevelType w:val="multilevel"/>
    <w:tmpl w:val="0066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819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8F"/>
    <w:rsid w:val="001E656A"/>
    <w:rsid w:val="00C26D8F"/>
    <w:rsid w:val="00E035F8"/>
    <w:rsid w:val="00FD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2B7B3"/>
  <w15:chartTrackingRefBased/>
  <w15:docId w15:val="{3EE0C849-8AA0-43DC-B154-6BDFDEA33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D8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D8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D8F"/>
    <w:pPr>
      <w:keepNext/>
      <w:keepLines/>
      <w:spacing w:before="120" w:after="40"/>
      <w:outlineLvl w:val="2"/>
    </w:pPr>
    <w:rPr>
      <w:rFonts w:eastAsiaTheme="majorEastAsia" w:cstheme="majorBidi"/>
      <w:color w:val="365F9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D8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D8F"/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D8F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D8F"/>
    <w:rPr>
      <w:rFonts w:eastAsiaTheme="majorEastAsia" w:cstheme="majorBidi"/>
      <w:color w:val="365F9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D8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D8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D8F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26D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D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26D8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26D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D8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D8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D8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D8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5FC734E265724693D20ED222E2CAAA" ma:contentTypeVersion="17" ma:contentTypeDescription="Create a new document." ma:contentTypeScope="" ma:versionID="a8a6c9637d166165852d30ba556d4ddc">
  <xsd:schema xmlns:xsd="http://www.w3.org/2001/XMLSchema" xmlns:xs="http://www.w3.org/2001/XMLSchema" xmlns:p="http://schemas.microsoft.com/office/2006/metadata/properties" xmlns:ns2="978c153e-fadf-4407-ac71-b056c76c8954" xmlns:ns3="bee4f39b-3ec6-484a-9daf-ced4e24a7977" targetNamespace="http://schemas.microsoft.com/office/2006/metadata/properties" ma:root="true" ma:fieldsID="d9c42e85cf241a3c4970ee6fc1e0606a" ns2:_="" ns3:_="">
    <xsd:import namespace="978c153e-fadf-4407-ac71-b056c76c8954"/>
    <xsd:import namespace="bee4f39b-3ec6-484a-9daf-ced4e24a79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8c153e-fadf-4407-ac71-b056c76c89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9b894c3-e10c-4742-ae8d-574342aa75c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4f39b-3ec6-484a-9daf-ced4e24a797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9a8f2636-5380-4140-ab7a-9ba727ae1269}" ma:internalName="TaxCatchAll" ma:showField="CatchAllData" ma:web="bee4f39b-3ec6-484a-9daf-ced4e24a79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e4f39b-3ec6-484a-9daf-ced4e24a7977" xsi:nil="true"/>
    <lcf76f155ced4ddcb4097134ff3c332f xmlns="978c153e-fadf-4407-ac71-b056c76c895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993A183-3D0C-44C1-B22F-ACE94D0BEE18}"/>
</file>

<file path=customXml/itemProps2.xml><?xml version="1.0" encoding="utf-8"?>
<ds:datastoreItem xmlns:ds="http://schemas.openxmlformats.org/officeDocument/2006/customXml" ds:itemID="{7EFF22D2-FFA5-4638-8900-C4F117E164D4}"/>
</file>

<file path=customXml/itemProps3.xml><?xml version="1.0" encoding="utf-8"?>
<ds:datastoreItem xmlns:ds="http://schemas.openxmlformats.org/officeDocument/2006/customXml" ds:itemID="{C758E97A-CED8-4F27-A864-B8676E93BB1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1022</Words>
  <Characters>4512</Characters>
  <Application>Microsoft Office Word</Application>
  <DocSecurity>0</DocSecurity>
  <Lines>45</Lines>
  <Paragraphs>2</Paragraphs>
  <ScaleCrop>false</ScaleCrop>
  <Company>Kiatnakin Bank</Company>
  <LinksUpToDate>false</LinksUpToDate>
  <CharactersWithSpaces>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Atchanida Theptrairat</dc:creator>
  <cp:keywords/>
  <dc:description/>
  <cp:lastModifiedBy>Atchanida Theptrairat</cp:lastModifiedBy>
  <cp:revision>1</cp:revision>
  <dcterms:created xsi:type="dcterms:W3CDTF">2026-02-10T09:36:00Z</dcterms:created>
  <dcterms:modified xsi:type="dcterms:W3CDTF">2026-02-10T09:38:00Z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0x0101005E5FC734E265724693D20ED222E2CAAA</vt:lpwstr>
  </property>
</Properties>
</file>