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pPr>
      <w:r>
        <w:rPr>
          <w:rFonts w:ascii="Arial" w:cs="Arial" w:eastAsia="Arial" w:hAnsi="Arial"/>
          <w:b/>
          <w:bCs/>
          <w:color w:val="D97D5C"/>
          <w:spacing w:val="120"/>
          <w:sz w:val="20"/>
          <w:szCs w:val="20"/>
        </w:rPr>
        <w:t xml:space="preserve">WHEN I'M GONE</w:t>
      </w:r>
    </w:p>
    <w:p>
      <w:pPr>
        <w:spacing w:after="200"/>
      </w:pPr>
      <w:r>
        <w:rPr>
          <w:rFonts w:ascii="Arial" w:cs="Arial" w:eastAsia="Arial" w:hAnsi="Arial"/>
          <w:b/>
          <w:bCs/>
          <w:color w:val="2C3E5D"/>
          <w:sz w:val="52"/>
          <w:szCs w:val="52"/>
        </w:rPr>
        <w:t xml:space="preserve">Business Thinking</w:t>
      </w:r>
    </w:p>
    <w:p>
      <w:pPr>
        <w:spacing w:after="80"/>
      </w:pPr>
      <w:r>
        <w:rPr>
          <w:rFonts w:ascii="Arial" w:cs="Arial" w:eastAsia="Arial" w:hAnsi="Arial"/>
          <w:color w:val="6B7589"/>
          <w:sz w:val="24"/>
          <w:szCs w:val="24"/>
        </w:rPr>
        <w:t xml:space="preserve">Value proposition  ·  Landscape  ·  Strategy</w:t>
      </w:r>
    </w:p>
    <w:p>
      <w:pPr>
        <w:spacing w:after="0"/>
      </w:pPr>
      <w:r>
        <w:rPr>
          <w:rFonts w:ascii="Arial" w:cs="Arial" w:eastAsia="Arial" w:hAnsi="Arial"/>
          <w:color w:val="6B7589"/>
          <w:sz w:val="20"/>
          <w:szCs w:val="20"/>
        </w:rPr>
        <w:t xml:space="preserve">May 2026  ·  Working document</w:t>
      </w:r>
    </w:p>
    <w:p>
      <w:pPr>
        <w:spacing w:after="200"/>
      </w:pPr>
      <w:r>
        <w:t xml:space="preserve"/>
      </w:r>
    </w:p>
    <w:p>
      <w:pPr>
        <w:pBdr>
          <w:bottom w:val="single" w:color="D0D8E4" w:sz="4"/>
        </w:pBdr>
        <w:spacing w:after="160" w:before="160"/>
      </w:pPr>
      <w:r>
        <w:t xml:space="preserve"/>
      </w:r>
    </w:p>
    <w:p>
      <w:pPr>
        <w:spacing w:after="100"/>
      </w:pPr>
      <w:r>
        <w:t xml:space="preserve"/>
      </w:r>
    </w:p>
    <w:p>
      <w:pPr>
        <w:spacing w:after="100"/>
      </w:pPr>
      <w:r>
        <w:rPr>
          <w:rFonts w:ascii="Arial" w:cs="Arial" w:eastAsia="Arial" w:hAnsi="Arial"/>
          <w:b/>
          <w:bCs/>
          <w:color w:val="2C3E5D"/>
          <w:sz w:val="24"/>
          <w:szCs w:val="24"/>
        </w:rPr>
        <w:t xml:space="preserve">What this document does</w:t>
      </w:r>
    </w:p>
    <w:p>
      <w:pPr>
        <w:spacing w:after="140"/>
      </w:pPr>
      <w:r>
        <w:rPr>
          <w:rFonts w:ascii="Arial" w:cs="Arial" w:eastAsia="Arial" w:hAnsi="Arial"/>
          <w:b w:val="false"/>
          <w:bCs w:val="false"/>
          <w:color w:val="1A2438"/>
          <w:sz w:val="22"/>
          <w:szCs w:val="22"/>
        </w:rPr>
        <w:t xml:space="preserve">This is a plain-language working document that takes three business strategy concepts — value proposition, landscape analysis, and strategy — and applies them directly to When I'm Gone. No jargon. No slides. Just clear thinking you can build on.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D0D8E4" w:sz="1"/>
              <w:left w:val="single" w:color="D0D8E4" w:sz="1"/>
              <w:bottom w:val="single" w:color="D0D8E4" w:sz="1"/>
              <w:right w:val="single" w:color="D0D8E4" w:sz="1"/>
            </w:tcBorders>
            <w:shd w:fill="2C3E5D" w:val="clear"/>
            <w:tcMar>
              <w:top w:type="dxa" w:w="140"/>
              <w:left w:type="dxa" w:w="160"/>
              <w:bottom w:type="dxa" w:w="140"/>
              <w:right w:type="dxa" w:w="160"/>
            </w:tcMar>
          </w:tcPr>
          <w:p>
            <w:pPr>
              <w:spacing w:after="60"/>
            </w:pPr>
            <w:r>
              <w:rPr>
                <w:rFonts w:ascii="Arial" w:cs="Arial" w:eastAsia="Arial" w:hAnsi="Arial"/>
                <w:b/>
                <w:bCs/>
                <w:color w:val="D97D5C"/>
                <w:sz w:val="20"/>
                <w:szCs w:val="20"/>
              </w:rPr>
              <w:t xml:space="preserve">Section 1</w:t>
            </w:r>
          </w:p>
          <w:p>
            <w:pPr>
              <w:spacing w:after="40"/>
            </w:pPr>
            <w:r>
              <w:rPr>
                <w:rFonts w:ascii="Arial" w:cs="Arial" w:eastAsia="Arial" w:hAnsi="Arial"/>
                <w:b/>
                <w:bCs/>
                <w:color w:val="FFFFFF"/>
                <w:sz w:val="22"/>
                <w:szCs w:val="22"/>
              </w:rPr>
              <w:t xml:space="preserve">Value Proposition</w:t>
            </w:r>
          </w:p>
          <w:p>
            <w:r>
              <w:rPr>
                <w:rFonts w:ascii="Arial" w:cs="Arial" w:eastAsia="Arial" w:hAnsi="Arial"/>
                <w:color w:val="B7C0D2"/>
                <w:sz w:val="18"/>
                <w:szCs w:val="18"/>
              </w:rPr>
              <w:t xml:space="preserve">Why people choose you over doing nothing or going elsewhere.</w:t>
            </w:r>
          </w:p>
        </w:tc>
        <w:tc>
          <w:tcPr>
            <w:tcW w:type="dxa" w:w="3009"/>
            <w:tcBorders>
              <w:top w:val="single" w:color="D0D8E4" w:sz="1"/>
              <w:left w:val="single" w:color="D0D8E4" w:sz="1"/>
              <w:bottom w:val="single" w:color="D0D8E4" w:sz="1"/>
              <w:right w:val="single" w:color="D0D8E4" w:sz="1"/>
            </w:tcBorders>
            <w:shd w:fill="2C3E5D" w:val="clear"/>
            <w:tcMar>
              <w:top w:type="dxa" w:w="140"/>
              <w:left w:type="dxa" w:w="160"/>
              <w:bottom w:type="dxa" w:w="140"/>
              <w:right w:type="dxa" w:w="160"/>
            </w:tcMar>
          </w:tcPr>
          <w:p>
            <w:pPr>
              <w:spacing w:after="60"/>
            </w:pPr>
            <w:r>
              <w:rPr>
                <w:rFonts w:ascii="Arial" w:cs="Arial" w:eastAsia="Arial" w:hAnsi="Arial"/>
                <w:b/>
                <w:bCs/>
                <w:color w:val="D97D5C"/>
                <w:sz w:val="20"/>
                <w:szCs w:val="20"/>
              </w:rPr>
              <w:t xml:space="preserve">Section 2</w:t>
            </w:r>
          </w:p>
          <w:p>
            <w:pPr>
              <w:spacing w:after="40"/>
            </w:pPr>
            <w:r>
              <w:rPr>
                <w:rFonts w:ascii="Arial" w:cs="Arial" w:eastAsia="Arial" w:hAnsi="Arial"/>
                <w:b/>
                <w:bCs/>
                <w:color w:val="FFFFFF"/>
                <w:sz w:val="22"/>
                <w:szCs w:val="22"/>
              </w:rPr>
              <w:t xml:space="preserve">Landscape Analysis</w:t>
            </w:r>
          </w:p>
          <w:p>
            <w:r>
              <w:rPr>
                <w:rFonts w:ascii="Arial" w:cs="Arial" w:eastAsia="Arial" w:hAnsi="Arial"/>
                <w:color w:val="B7C0D2"/>
                <w:sz w:val="18"/>
                <w:szCs w:val="18"/>
              </w:rPr>
              <w:t xml:space="preserve">Who else is in this space, how they differ, and where the gaps are.</w:t>
            </w:r>
          </w:p>
        </w:tc>
        <w:tc>
          <w:tcPr>
            <w:tcW w:type="dxa" w:w="3009"/>
            <w:tcBorders>
              <w:top w:val="single" w:color="D0D8E4" w:sz="1"/>
              <w:left w:val="single" w:color="D0D8E4" w:sz="1"/>
              <w:bottom w:val="single" w:color="D0D8E4" w:sz="1"/>
              <w:right w:val="single" w:color="D0D8E4" w:sz="1"/>
            </w:tcBorders>
            <w:shd w:fill="2C3E5D" w:val="clear"/>
            <w:tcMar>
              <w:top w:type="dxa" w:w="140"/>
              <w:left w:type="dxa" w:w="160"/>
              <w:bottom w:type="dxa" w:w="140"/>
              <w:right w:type="dxa" w:w="160"/>
            </w:tcMar>
          </w:tcPr>
          <w:p>
            <w:pPr>
              <w:spacing w:after="60"/>
            </w:pPr>
            <w:r>
              <w:rPr>
                <w:rFonts w:ascii="Arial" w:cs="Arial" w:eastAsia="Arial" w:hAnsi="Arial"/>
                <w:b/>
                <w:bCs/>
                <w:color w:val="D97D5C"/>
                <w:sz w:val="20"/>
                <w:szCs w:val="20"/>
              </w:rPr>
              <w:t xml:space="preserve">Section 3</w:t>
            </w:r>
          </w:p>
          <w:p>
            <w:pPr>
              <w:spacing w:after="40"/>
            </w:pPr>
            <w:r>
              <w:rPr>
                <w:rFonts w:ascii="Arial" w:cs="Arial" w:eastAsia="Arial" w:hAnsi="Arial"/>
                <w:b/>
                <w:bCs/>
                <w:color w:val="FFFFFF"/>
                <w:sz w:val="22"/>
                <w:szCs w:val="22"/>
              </w:rPr>
              <w:t xml:space="preserve">Strategy</w:t>
            </w:r>
          </w:p>
          <w:p>
            <w:r>
              <w:rPr>
                <w:rFonts w:ascii="Arial" w:cs="Arial" w:eastAsia="Arial" w:hAnsi="Arial"/>
                <w:color w:val="B7C0D2"/>
                <w:sz w:val="18"/>
                <w:szCs w:val="18"/>
              </w:rPr>
              <w:t xml:space="preserve">The clearest moves to grow from here, in priority order.</w:t>
            </w:r>
          </w:p>
        </w:tc>
      </w:tr>
    </w:tbl>
    <w:p>
      <w:r>
        <w:br w:type="page"/>
      </w:r>
    </w:p>
    <w:p>
      <w:pPr>
        <w:spacing w:after="80"/>
      </w:pPr>
      <w:r>
        <w:rPr>
          <w:rFonts w:ascii="Arial" w:cs="Arial" w:eastAsia="Arial" w:hAnsi="Arial"/>
          <w:b/>
          <w:bCs/>
          <w:color w:val="D97D5C"/>
          <w:spacing w:val="120"/>
          <w:sz w:val="18"/>
          <w:szCs w:val="18"/>
        </w:rPr>
        <w:t xml:space="preserve">SECTION 1</w:t>
      </w:r>
    </w:p>
    <w:p>
      <w:pPr>
        <w:pStyle w:val="Heading1"/>
        <w:spacing w:after="160" w:before="360"/>
      </w:pPr>
      <w:r>
        <w:rPr>
          <w:rFonts w:ascii="Arial" w:cs="Arial" w:eastAsia="Arial" w:hAnsi="Arial"/>
          <w:b/>
          <w:bCs/>
          <w:color w:val="2C3E5D"/>
          <w:sz w:val="36"/>
          <w:szCs w:val="36"/>
        </w:rPr>
        <w:t xml:space="preserve">Value Proposition</w:t>
      </w:r>
    </w:p>
    <w:p>
      <w:pPr>
        <w:spacing w:after="140"/>
      </w:pPr>
      <w:r>
        <w:rPr>
          <w:rFonts w:ascii="Arial" w:cs="Arial" w:eastAsia="Arial" w:hAnsi="Arial"/>
          <w:b w:val="false"/>
          <w:bCs w:val="false"/>
          <w:color w:val="1A2438"/>
          <w:sz w:val="22"/>
          <w:szCs w:val="22"/>
        </w:rPr>
        <w:t xml:space="preserve">In plain terms: why would someone choose When I'm Gone, rather than doing nothing, scribbling in a notebook, or paying for something fancier?</w:t>
      </w:r>
    </w:p>
    <w:p>
      <w:pPr>
        <w:spacing w:after="140"/>
      </w:pPr>
      <w:r>
        <w:rPr>
          <w:rFonts w:ascii="Arial" w:cs="Arial" w:eastAsia="Arial" w:hAnsi="Arial"/>
          <w:b w:val="false"/>
          <w:bCs w:val="false"/>
          <w:color w:val="1A2438"/>
          <w:sz w:val="22"/>
          <w:szCs w:val="22"/>
        </w:rPr>
        <w:t xml:space="preserve">A value proposition has three parts: who the customer is, what problem they have, and why your solution is better than the alternatives. Here's how that plays out for you.</w:t>
      </w:r>
    </w:p>
    <w:p>
      <w:pPr>
        <w:spacing w:after="80"/>
      </w:pPr>
      <w:r>
        <w:t xml:space="preserve"/>
      </w:r>
    </w:p>
    <w:p>
      <w:pPr>
        <w:pStyle w:val="Heading2"/>
        <w:spacing w:after="120" w:before="280"/>
      </w:pPr>
      <w:r>
        <w:rPr>
          <w:rFonts w:ascii="Arial" w:cs="Arial" w:eastAsia="Arial" w:hAnsi="Arial"/>
          <w:b/>
          <w:bCs/>
          <w:color w:val="2C3E5D"/>
          <w:sz w:val="28"/>
          <w:szCs w:val="28"/>
        </w:rPr>
        <w:t xml:space="preserve">Who is the customer?</w:t>
      </w:r>
    </w:p>
    <w:p>
      <w:pPr>
        <w:spacing w:after="140"/>
      </w:pPr>
      <w:r>
        <w:rPr>
          <w:rFonts w:ascii="Arial" w:cs="Arial" w:eastAsia="Arial" w:hAnsi="Arial"/>
          <w:b w:val="false"/>
          <w:bCs w:val="false"/>
          <w:color w:val="1A2438"/>
          <w:sz w:val="22"/>
          <w:szCs w:val="22"/>
        </w:rPr>
        <w:t xml:space="preserve">There are three groups, and they matter in different ways:</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426"/>
      </w:tblGrid>
      <w:tr>
        <w:tc>
          <w:tcPr>
            <w:tcW w:type="dxa" w:w="1600"/>
            <w:tcBorders>
              <w:top w:val="single" w:color="D0D8E4" w:sz="1"/>
              <w:left w:val="single" w:color="D0D8E4" w:sz="1"/>
              <w:bottom w:val="single" w:color="D0D8E4" w:sz="1"/>
              <w:right w:val="single" w:color="D0D8E4" w:sz="1"/>
            </w:tcBorders>
            <w:shd w:fill="2C3E5D" w:val="clear"/>
            <w:tcMar>
              <w:top w:type="dxa" w:w="100"/>
              <w:left w:type="dxa" w:w="140"/>
              <w:bottom w:type="dxa" w:w="100"/>
              <w:right w:type="dxa" w:w="140"/>
            </w:tcMar>
          </w:tcPr>
          <w:p>
            <w:r>
              <w:rPr>
                <w:rFonts w:ascii="Arial" w:cs="Arial" w:eastAsia="Arial" w:hAnsi="Arial"/>
                <w:b/>
                <w:bCs/>
                <w:color w:val="FFFFFF"/>
                <w:sz w:val="20"/>
                <w:szCs w:val="20"/>
              </w:rPr>
              <w:t xml:space="preserve">Group</w:t>
            </w:r>
          </w:p>
        </w:tc>
        <w:tc>
          <w:tcPr>
            <w:tcW w:type="dxa" w:w="4000"/>
            <w:tcBorders>
              <w:top w:val="single" w:color="D0D8E4" w:sz="1"/>
              <w:left w:val="single" w:color="D0D8E4" w:sz="1"/>
              <w:bottom w:val="single" w:color="D0D8E4" w:sz="1"/>
              <w:right w:val="single" w:color="D0D8E4" w:sz="1"/>
            </w:tcBorders>
            <w:shd w:fill="2C3E5D" w:val="clear"/>
            <w:tcMar>
              <w:top w:type="dxa" w:w="100"/>
              <w:left w:type="dxa" w:w="140"/>
              <w:bottom w:type="dxa" w:w="100"/>
              <w:right w:type="dxa" w:w="140"/>
            </w:tcMar>
          </w:tcPr>
          <w:p>
            <w:r>
              <w:rPr>
                <w:rFonts w:ascii="Arial" w:cs="Arial" w:eastAsia="Arial" w:hAnsi="Arial"/>
                <w:b/>
                <w:bCs/>
                <w:color w:val="FFFFFF"/>
                <w:sz w:val="20"/>
                <w:szCs w:val="20"/>
              </w:rPr>
              <w:t xml:space="preserve">Who they are</w:t>
            </w:r>
          </w:p>
        </w:tc>
        <w:tc>
          <w:tcPr>
            <w:tcW w:type="dxa" w:w="3426"/>
            <w:tcBorders>
              <w:top w:val="single" w:color="D0D8E4" w:sz="1"/>
              <w:left w:val="single" w:color="D0D8E4" w:sz="1"/>
              <w:bottom w:val="single" w:color="D0D8E4" w:sz="1"/>
              <w:right w:val="single" w:color="D0D8E4" w:sz="1"/>
            </w:tcBorders>
            <w:shd w:fill="2C3E5D" w:val="clear"/>
            <w:tcMar>
              <w:top w:type="dxa" w:w="100"/>
              <w:left w:type="dxa" w:w="140"/>
              <w:bottom w:type="dxa" w:w="100"/>
              <w:right w:type="dxa" w:w="140"/>
            </w:tcMar>
          </w:tcPr>
          <w:p>
            <w:r>
              <w:rPr>
                <w:rFonts w:ascii="Arial" w:cs="Arial" w:eastAsia="Arial" w:hAnsi="Arial"/>
                <w:b/>
                <w:bCs/>
                <w:color w:val="FFFFFF"/>
                <w:sz w:val="20"/>
                <w:szCs w:val="20"/>
              </w:rPr>
              <w:t xml:space="preserve">Why they matter</w:t>
            </w:r>
          </w:p>
        </w:tc>
      </w:tr>
      <w:tr>
        <w:tc>
          <w:tcPr>
            <w:tcW w:type="dxa" w:w="1600"/>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b/>
                <w:bCs/>
                <w:color w:val="D97D5C"/>
                <w:sz w:val="20"/>
                <w:szCs w:val="20"/>
              </w:rPr>
              <w:t xml:space="preserve">Primary</w:t>
            </w:r>
          </w:p>
        </w:tc>
        <w:tc>
          <w:tcPr>
            <w:tcW w:type="dxa" w:w="4000"/>
            <w:tcBorders>
              <w:top w:val="single" w:color="D0D8E4" w:sz="1"/>
              <w:left w:val="single" w:color="D0D8E4" w:sz="1"/>
              <w:bottom w:val="single" w:color="D0D8E4" w:sz="1"/>
              <w:right w:val="single" w:color="D0D8E4" w:sz="1"/>
            </w:tcBorders>
            <w:shd w:fill="EFF3F8" w:val="clear"/>
            <w:tcMar>
              <w:top w:type="dxa" w:w="100"/>
              <w:left w:type="dxa" w:w="140"/>
              <w:bottom w:type="dxa" w:w="100"/>
              <w:right w:type="dxa" w:w="140"/>
            </w:tcMar>
          </w:tcPr>
          <w:p>
            <w:r>
              <w:rPr>
                <w:rFonts w:ascii="Arial" w:cs="Arial" w:eastAsia="Arial" w:hAnsi="Arial"/>
                <w:color w:val="1A2438"/>
                <w:sz w:val="20"/>
                <w:szCs w:val="20"/>
              </w:rPr>
              <w:t xml:space="preserve">People aged 45-75 who have started thinking about what happens when they go. Often prompted by a parent's death, a health scare, or simply turning 50.</w:t>
            </w:r>
          </w:p>
        </w:tc>
        <w:tc>
          <w:tcPr>
            <w:tcW w:type="dxa" w:w="3426"/>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color w:val="1A2438"/>
                <w:sz w:val="20"/>
                <w:szCs w:val="20"/>
              </w:rPr>
              <w:t xml:space="preserve">The core buyer. The moment of decision is emotional, not rational — they buy because it feels right, not because they compared spreadsheets.</w:t>
            </w:r>
          </w:p>
        </w:tc>
      </w:tr>
      <w:tr>
        <w:tc>
          <w:tcPr>
            <w:tcW w:type="dxa" w:w="1600"/>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b/>
                <w:bCs/>
                <w:color w:val="2C3E5D"/>
                <w:sz w:val="20"/>
                <w:szCs w:val="20"/>
              </w:rPr>
              <w:t xml:space="preserve">Secondary</w:t>
            </w:r>
          </w:p>
        </w:tc>
        <w:tc>
          <w:tcPr>
            <w:tcW w:type="dxa" w:w="4000"/>
            <w:tcBorders>
              <w:top w:val="single" w:color="D0D8E4" w:sz="1"/>
              <w:left w:val="single" w:color="D0D8E4" w:sz="1"/>
              <w:bottom w:val="single" w:color="D0D8E4" w:sz="1"/>
              <w:right w:val="single" w:color="D0D8E4" w:sz="1"/>
            </w:tcBorders>
            <w:shd w:fill="EFF3F8" w:val="clear"/>
            <w:tcMar>
              <w:top w:type="dxa" w:w="100"/>
              <w:left w:type="dxa" w:w="140"/>
              <w:bottom w:type="dxa" w:w="100"/>
              <w:right w:type="dxa" w:w="140"/>
            </w:tcMar>
          </w:tcPr>
          <w:p>
            <w:r>
              <w:rPr>
                <w:rFonts w:ascii="Arial" w:cs="Arial" w:eastAsia="Arial" w:hAnsi="Arial"/>
                <w:color w:val="1A2438"/>
                <w:sz w:val="20"/>
                <w:szCs w:val="20"/>
              </w:rPr>
              <w:t xml:space="preserve">Adult children (30s-50s) who want to gift this to a parent. They've experienced the chaos of a family death and want to spare their own family the same.</w:t>
            </w:r>
          </w:p>
        </w:tc>
        <w:tc>
          <w:tcPr>
            <w:tcW w:type="dxa" w:w="3426"/>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color w:val="1A2438"/>
                <w:sz w:val="20"/>
                <w:szCs w:val="20"/>
              </w:rPr>
              <w:t xml:space="preserve">High-intent buyers. They already understand the problem deeply and the £7.95 price removes all friction. A gifting mechanic (voucher/card) would unlock this group properly.</w:t>
            </w:r>
          </w:p>
        </w:tc>
      </w:tr>
      <w:tr>
        <w:tc>
          <w:tcPr>
            <w:tcW w:type="dxa" w:w="1600"/>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b/>
                <w:bCs/>
                <w:color w:val="6B7589"/>
                <w:sz w:val="20"/>
                <w:szCs w:val="20"/>
              </w:rPr>
              <w:t xml:space="preserve">Tertiary</w:t>
            </w:r>
          </w:p>
        </w:tc>
        <w:tc>
          <w:tcPr>
            <w:tcW w:type="dxa" w:w="4000"/>
            <w:tcBorders>
              <w:top w:val="single" w:color="D0D8E4" w:sz="1"/>
              <w:left w:val="single" w:color="D0D8E4" w:sz="1"/>
              <w:bottom w:val="single" w:color="D0D8E4" w:sz="1"/>
              <w:right w:val="single" w:color="D0D8E4" w:sz="1"/>
            </w:tcBorders>
            <w:shd w:fill="EFF3F8" w:val="clear"/>
            <w:tcMar>
              <w:top w:type="dxa" w:w="100"/>
              <w:left w:type="dxa" w:w="140"/>
              <w:bottom w:type="dxa" w:w="100"/>
              <w:right w:type="dxa" w:w="140"/>
            </w:tcMar>
          </w:tcPr>
          <w:p>
            <w:r>
              <w:rPr>
                <w:rFonts w:ascii="Arial" w:cs="Arial" w:eastAsia="Arial" w:hAnsi="Arial"/>
                <w:color w:val="1A2438"/>
                <w:sz w:val="20"/>
                <w:szCs w:val="20"/>
              </w:rPr>
              <w:t xml:space="preserve">Professionals: solicitors, financial advisers, funeral directors who recommend tools to clients writing wills or setting up LPAs.</w:t>
            </w:r>
          </w:p>
        </w:tc>
        <w:tc>
          <w:tcPr>
            <w:tcW w:type="dxa" w:w="3426"/>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color w:val="1A2438"/>
                <w:sz w:val="20"/>
                <w:szCs w:val="20"/>
              </w:rPr>
              <w:t xml:space="preserve">Not buyers themselves, but multipliers. One solicitor who recommends When I'm Gone to every will-writing client could be worth hundreds of sales a year.</w:t>
            </w:r>
          </w:p>
        </w:tc>
      </w:tr>
    </w:tbl>
    <w:p>
      <w:pPr>
        <w:spacing w:after="160"/>
      </w:pPr>
      <w:r>
        <w:t xml:space="preserve"/>
      </w:r>
    </w:p>
    <w:p>
      <w:pPr>
        <w:pStyle w:val="Heading2"/>
        <w:spacing w:after="120" w:before="280"/>
      </w:pPr>
      <w:r>
        <w:rPr>
          <w:rFonts w:ascii="Arial" w:cs="Arial" w:eastAsia="Arial" w:hAnsi="Arial"/>
          <w:b/>
          <w:bCs/>
          <w:color w:val="2C3E5D"/>
          <w:sz w:val="28"/>
          <w:szCs w:val="28"/>
        </w:rPr>
        <w:t xml:space="preserve">What problem does it solve?</w:t>
      </w:r>
    </w:p>
    <w:p>
      <w:pPr>
        <w:spacing w:after="140"/>
      </w:pPr>
      <w:r>
        <w:rPr>
          <w:rFonts w:ascii="Arial" w:cs="Arial" w:eastAsia="Arial" w:hAnsi="Arial"/>
          <w:b w:val="false"/>
          <w:bCs w:val="false"/>
          <w:color w:val="1A2438"/>
          <w:sz w:val="22"/>
          <w:szCs w:val="22"/>
        </w:rPr>
        <w:t xml:space="preserve">The problem is not 'I need a will.' The problem is: when someone dies, their family have to piece together everything practical — accounts, contacts, documents, funeral wishes — during the worst weeks of their lives, with almost no preparation.</w:t>
      </w:r>
    </w:p>
    <w:p>
      <w:pPr>
        <w:spacing w:after="140"/>
      </w:pPr>
      <w:r>
        <w:rPr>
          <w:rFonts w:ascii="Arial" w:cs="Arial" w:eastAsia="Arial" w:hAnsi="Arial"/>
          <w:b w:val="false"/>
          <w:bCs w:val="false"/>
          <w:color w:val="1A2438"/>
          <w:sz w:val="22"/>
          <w:szCs w:val="22"/>
        </w:rPr>
        <w:t xml:space="preserve">Most people have a vague intention to 'sort things out' that never becomes action. When it's finally done, the information lives in their head, in a shoebox, or scattered across emails.</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single" w:color="2C3E5D" w:sz="20"/>
              <w:bottom w:val="none" w:color="FFFFFF" w:sz="0"/>
              <w:right w:val="none" w:color="FFFFFF" w:sz="0"/>
            </w:tcBorders>
            <w:shd w:fill="EEF3FA" w:val="clear"/>
            <w:tcMar>
              <w:top w:type="dxa" w:w="120"/>
              <w:left w:type="dxa" w:w="120"/>
              <w:bottom w:type="dxa" w:w="120"/>
              <w:right w:type="dxa" w:w="0"/>
            </w:tcMar>
          </w:tcPr>
          <w:p>
            <w:r>
              <w:t xml:space="preserve"/>
            </w:r>
          </w:p>
        </w:tc>
        <w:tc>
          <w:tcPr>
            <w:tcW w:type="dxa" w:w="8826"/>
            <w:tcBorders>
              <w:top w:val="none" w:color="FFFFFF" w:sz="0"/>
              <w:left w:val="none" w:color="FFFFFF" w:sz="0"/>
              <w:bottom w:val="none" w:color="FFFFFF" w:sz="0"/>
              <w:right w:val="none" w:color="FFFFFF" w:sz="0"/>
            </w:tcBorders>
            <w:shd w:fill="EEF3FA" w:val="clear"/>
            <w:tcMar>
              <w:top w:type="dxa" w:w="120"/>
              <w:left w:type="dxa" w:w="160"/>
              <w:bottom w:type="dxa" w:w="120"/>
              <w:right w:type="dxa" w:w="160"/>
            </w:tcMar>
          </w:tcPr>
          <w:p>
            <w:r>
              <w:rPr>
                <w:rFonts w:ascii="Arial" w:cs="Arial" w:eastAsia="Arial" w:hAnsi="Arial"/>
                <w:color w:val="1A2438"/>
                <w:sz w:val="21"/>
                <w:szCs w:val="21"/>
              </w:rPr>
              <w:t xml:space="preserve">The grief is unavoidable. The weeks of searching, guessing and phoning strangers are not. That's the problem When I'm Gone solves.</w:t>
            </w:r>
          </w:p>
        </w:tc>
      </w:tr>
    </w:tbl>
    <w:p>
      <w:pPr>
        <w:spacing w:after="140"/>
      </w:pPr>
      <w:r>
        <w:t xml:space="preserve"/>
      </w:r>
    </w:p>
    <w:p>
      <w:pPr>
        <w:pStyle w:val="Heading2"/>
        <w:spacing w:after="120" w:before="280"/>
      </w:pPr>
      <w:r>
        <w:rPr>
          <w:rFonts w:ascii="Arial" w:cs="Arial" w:eastAsia="Arial" w:hAnsi="Arial"/>
          <w:b/>
          <w:bCs/>
          <w:color w:val="2C3E5D"/>
          <w:sz w:val="28"/>
          <w:szCs w:val="28"/>
        </w:rPr>
        <w:t xml:space="preserve">Why is When I'm Gone the right answer?</w:t>
      </w:r>
    </w:p>
    <w:p>
      <w:pPr>
        <w:spacing w:after="140"/>
      </w:pPr>
      <w:r>
        <w:rPr>
          <w:rFonts w:ascii="Arial" w:cs="Arial" w:eastAsia="Arial" w:hAnsi="Arial"/>
          <w:b w:val="false"/>
          <w:bCs w:val="false"/>
          <w:color w:val="1A2438"/>
          <w:sz w:val="22"/>
          <w:szCs w:val="22"/>
        </w:rPr>
        <w:t xml:space="preserve">Here's what makes it different from every other option people might reach for: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D0D8E4" w:sz="1"/>
              <w:left w:val="single" w:color="D0D8E4" w:sz="1"/>
              <w:bottom w:val="single" w:color="D0D8E4" w:sz="1"/>
              <w:right w:val="single" w:color="D0D8E4" w:sz="1"/>
            </w:tcBorders>
            <w:shd w:fill="2C3E5D" w:val="clear"/>
            <w:tcMar>
              <w:top w:type="dxa" w:w="100"/>
              <w:left w:type="dxa" w:w="140"/>
              <w:bottom w:type="dxa" w:w="100"/>
              <w:right w:type="dxa" w:w="140"/>
            </w:tcMar>
          </w:tcPr>
          <w:p>
            <w:r>
              <w:rPr>
                <w:rFonts w:ascii="Arial" w:cs="Arial" w:eastAsia="Arial" w:hAnsi="Arial"/>
                <w:b/>
                <w:bCs/>
                <w:color w:val="FFFFFF"/>
                <w:sz w:val="20"/>
                <w:szCs w:val="20"/>
              </w:rPr>
              <w:t xml:space="preserve">Alternative</w:t>
            </w:r>
          </w:p>
        </w:tc>
        <w:tc>
          <w:tcPr>
            <w:tcW w:type="dxa" w:w="3013"/>
            <w:tcBorders>
              <w:top w:val="single" w:color="D0D8E4" w:sz="1"/>
              <w:left w:val="single" w:color="D0D8E4" w:sz="1"/>
              <w:bottom w:val="single" w:color="D0D8E4" w:sz="1"/>
              <w:right w:val="single" w:color="D0D8E4" w:sz="1"/>
            </w:tcBorders>
            <w:shd w:fill="2C3E5D" w:val="clear"/>
            <w:tcMar>
              <w:top w:type="dxa" w:w="100"/>
              <w:left w:type="dxa" w:w="140"/>
              <w:bottom w:type="dxa" w:w="100"/>
              <w:right w:type="dxa" w:w="140"/>
            </w:tcMar>
          </w:tcPr>
          <w:p>
            <w:r>
              <w:rPr>
                <w:rFonts w:ascii="Arial" w:cs="Arial" w:eastAsia="Arial" w:hAnsi="Arial"/>
                <w:b/>
                <w:bCs/>
                <w:color w:val="FFFFFF"/>
                <w:sz w:val="20"/>
                <w:szCs w:val="20"/>
              </w:rPr>
              <w:t xml:space="preserve">Why people try it</w:t>
            </w:r>
          </w:p>
        </w:tc>
        <w:tc>
          <w:tcPr>
            <w:tcW w:type="dxa" w:w="3013"/>
            <w:tcBorders>
              <w:top w:val="single" w:color="D0D8E4" w:sz="1"/>
              <w:left w:val="single" w:color="D0D8E4" w:sz="1"/>
              <w:bottom w:val="single" w:color="D0D8E4" w:sz="1"/>
              <w:right w:val="single" w:color="D0D8E4" w:sz="1"/>
            </w:tcBorders>
            <w:shd w:fill="2C3E5D" w:val="clear"/>
            <w:tcMar>
              <w:top w:type="dxa" w:w="100"/>
              <w:left w:type="dxa" w:w="140"/>
              <w:bottom w:type="dxa" w:w="100"/>
              <w:right w:type="dxa" w:w="140"/>
            </w:tcMar>
          </w:tcPr>
          <w:p>
            <w:r>
              <w:rPr>
                <w:rFonts w:ascii="Arial" w:cs="Arial" w:eastAsia="Arial" w:hAnsi="Arial"/>
                <w:b/>
                <w:bCs/>
                <w:color w:val="FFFFFF"/>
                <w:sz w:val="20"/>
                <w:szCs w:val="20"/>
              </w:rPr>
              <w:t xml:space="preserve">Where it falls short</w:t>
            </w:r>
          </w:p>
        </w:tc>
      </w:tr>
      <w:tr>
        <w:tc>
          <w:tcPr>
            <w:tcW w:type="dxa" w:w="3000"/>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b/>
                <w:bCs/>
                <w:color w:val="1A2438"/>
                <w:sz w:val="20"/>
                <w:szCs w:val="20"/>
              </w:rPr>
              <w:t xml:space="preserve">Do nothing</w:t>
            </w:r>
          </w:p>
        </w:tc>
        <w:tc>
          <w:tcPr>
            <w:tcW w:type="dxa" w:w="3013"/>
            <w:tcBorders>
              <w:top w:val="single" w:color="D0D8E4" w:sz="1"/>
              <w:left w:val="single" w:color="D0D8E4" w:sz="1"/>
              <w:bottom w:val="single" w:color="D0D8E4" w:sz="1"/>
              <w:right w:val="single" w:color="D0D8E4" w:sz="1"/>
            </w:tcBorders>
            <w:shd w:fill="EFF3F8" w:val="clear"/>
            <w:tcMar>
              <w:top w:type="dxa" w:w="100"/>
              <w:left w:type="dxa" w:w="140"/>
              <w:bottom w:type="dxa" w:w="100"/>
              <w:right w:type="dxa" w:w="140"/>
            </w:tcMar>
          </w:tcPr>
          <w:p>
            <w:r>
              <w:rPr>
                <w:rFonts w:ascii="Arial" w:cs="Arial" w:eastAsia="Arial" w:hAnsi="Arial"/>
                <w:color w:val="1A2438"/>
                <w:sz w:val="20"/>
                <w:szCs w:val="20"/>
              </w:rPr>
              <w:t xml:space="preserve">It's hard to start this conversation</w:t>
            </w:r>
          </w:p>
        </w:tc>
        <w:tc>
          <w:tcPr>
            <w:tcW w:type="dxa" w:w="3013"/>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color w:val="1A2438"/>
                <w:sz w:val="20"/>
                <w:szCs w:val="20"/>
              </w:rPr>
              <w:t xml:space="preserve">Family left hunting through paperwork. Accounts missed. Wishes unknown.</w:t>
            </w:r>
          </w:p>
        </w:tc>
      </w:tr>
      <w:tr>
        <w:tc>
          <w:tcPr>
            <w:tcW w:type="dxa" w:w="3000"/>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b/>
                <w:bCs/>
                <w:color w:val="1A2438"/>
                <w:sz w:val="20"/>
                <w:szCs w:val="20"/>
              </w:rPr>
              <w:t xml:space="preserve">A handwritten notebook</w:t>
            </w:r>
          </w:p>
        </w:tc>
        <w:tc>
          <w:tcPr>
            <w:tcW w:type="dxa" w:w="3013"/>
            <w:tcBorders>
              <w:top w:val="single" w:color="D0D8E4" w:sz="1"/>
              <w:left w:val="single" w:color="D0D8E4" w:sz="1"/>
              <w:bottom w:val="single" w:color="D0D8E4" w:sz="1"/>
              <w:right w:val="single" w:color="D0D8E4" w:sz="1"/>
            </w:tcBorders>
            <w:shd w:fill="EFF3F8" w:val="clear"/>
            <w:tcMar>
              <w:top w:type="dxa" w:w="100"/>
              <w:left w:type="dxa" w:w="140"/>
              <w:bottom w:type="dxa" w:w="100"/>
              <w:right w:type="dxa" w:w="140"/>
            </w:tcMar>
          </w:tcPr>
          <w:p>
            <w:r>
              <w:rPr>
                <w:rFonts w:ascii="Arial" w:cs="Arial" w:eastAsia="Arial" w:hAnsi="Arial"/>
                <w:color w:val="1A2438"/>
                <w:sz w:val="20"/>
                <w:szCs w:val="20"/>
              </w:rPr>
              <w:t xml:space="preserve">Low effort, feels familiar</w:t>
            </w:r>
          </w:p>
        </w:tc>
        <w:tc>
          <w:tcPr>
            <w:tcW w:type="dxa" w:w="3013"/>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color w:val="1A2438"/>
                <w:sz w:val="20"/>
                <w:szCs w:val="20"/>
              </w:rPr>
              <w:t xml:space="preserve">No structure, easily lost, not encrypted, family may never find it</w:t>
            </w:r>
          </w:p>
        </w:tc>
      </w:tr>
      <w:tr>
        <w:tc>
          <w:tcPr>
            <w:tcW w:type="dxa" w:w="3000"/>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b/>
                <w:bCs/>
                <w:color w:val="1A2438"/>
                <w:sz w:val="20"/>
                <w:szCs w:val="20"/>
              </w:rPr>
              <w:t xml:space="preserve">A password manager</w:t>
            </w:r>
          </w:p>
        </w:tc>
        <w:tc>
          <w:tcPr>
            <w:tcW w:type="dxa" w:w="3013"/>
            <w:tcBorders>
              <w:top w:val="single" w:color="D0D8E4" w:sz="1"/>
              <w:left w:val="single" w:color="D0D8E4" w:sz="1"/>
              <w:bottom w:val="single" w:color="D0D8E4" w:sz="1"/>
              <w:right w:val="single" w:color="D0D8E4" w:sz="1"/>
            </w:tcBorders>
            <w:shd w:fill="EFF3F8" w:val="clear"/>
            <w:tcMar>
              <w:top w:type="dxa" w:w="100"/>
              <w:left w:type="dxa" w:w="140"/>
              <w:bottom w:type="dxa" w:w="100"/>
              <w:right w:type="dxa" w:w="140"/>
            </w:tcMar>
          </w:tcPr>
          <w:p>
            <w:r>
              <w:rPr>
                <w:rFonts w:ascii="Arial" w:cs="Arial" w:eastAsia="Arial" w:hAnsi="Arial"/>
                <w:color w:val="1A2438"/>
                <w:sz w:val="20"/>
                <w:szCs w:val="20"/>
              </w:rPr>
              <w:t xml:space="preserve">Feels like the right tool for 'digital stuff'</w:t>
            </w:r>
          </w:p>
        </w:tc>
        <w:tc>
          <w:tcPr>
            <w:tcW w:type="dxa" w:w="3013"/>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color w:val="1A2438"/>
                <w:sz w:val="20"/>
                <w:szCs w:val="20"/>
              </w:rPr>
              <w:t xml:space="preserve">Wrong framing — families don't need passwords, they need account names and contacts. Also too technical for the average 65-year-old.</w:t>
            </w:r>
          </w:p>
        </w:tc>
      </w:tr>
      <w:tr>
        <w:tc>
          <w:tcPr>
            <w:tcW w:type="dxa" w:w="3000"/>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b/>
                <w:bCs/>
                <w:color w:val="1A2438"/>
                <w:sz w:val="20"/>
                <w:szCs w:val="20"/>
              </w:rPr>
              <w:t xml:space="preserve">A full estate platform (Everplans, Lyfeguard)</w:t>
            </w:r>
          </w:p>
        </w:tc>
        <w:tc>
          <w:tcPr>
            <w:tcW w:type="dxa" w:w="3013"/>
            <w:tcBorders>
              <w:top w:val="single" w:color="D0D8E4" w:sz="1"/>
              <w:left w:val="single" w:color="D0D8E4" w:sz="1"/>
              <w:bottom w:val="single" w:color="D0D8E4" w:sz="1"/>
              <w:right w:val="single" w:color="D0D8E4" w:sz="1"/>
            </w:tcBorders>
            <w:shd w:fill="EFF3F8" w:val="clear"/>
            <w:tcMar>
              <w:top w:type="dxa" w:w="100"/>
              <w:left w:type="dxa" w:w="140"/>
              <w:bottom w:type="dxa" w:w="100"/>
              <w:right w:type="dxa" w:w="140"/>
            </w:tcMar>
          </w:tcPr>
          <w:p>
            <w:r>
              <w:rPr>
                <w:rFonts w:ascii="Arial" w:cs="Arial" w:eastAsia="Arial" w:hAnsi="Arial"/>
                <w:color w:val="1A2438"/>
                <w:sz w:val="20"/>
                <w:szCs w:val="20"/>
              </w:rPr>
              <w:t xml:space="preserve">Looks comprehensive</w:t>
            </w:r>
          </w:p>
        </w:tc>
        <w:tc>
          <w:tcPr>
            <w:tcW w:type="dxa" w:w="3013"/>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color w:val="1A2438"/>
                <w:sz w:val="20"/>
                <w:szCs w:val="20"/>
              </w:rPr>
              <w:t xml:space="preserve">Subscription fees, complex onboarding, US-centric, aimed at financial advisers not individuals</w:t>
            </w:r>
          </w:p>
        </w:tc>
      </w:tr>
      <w:tr>
        <w:tc>
          <w:tcPr>
            <w:tcW w:type="dxa" w:w="3000"/>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b/>
                <w:bCs/>
                <w:color w:val="1A2438"/>
                <w:sz w:val="20"/>
                <w:szCs w:val="20"/>
              </w:rPr>
              <w:t xml:space="preserve">A solicitor / financial adviser</w:t>
            </w:r>
          </w:p>
        </w:tc>
        <w:tc>
          <w:tcPr>
            <w:tcW w:type="dxa" w:w="3013"/>
            <w:tcBorders>
              <w:top w:val="single" w:color="D0D8E4" w:sz="1"/>
              <w:left w:val="single" w:color="D0D8E4" w:sz="1"/>
              <w:bottom w:val="single" w:color="D0D8E4" w:sz="1"/>
              <w:right w:val="single" w:color="D0D8E4" w:sz="1"/>
            </w:tcBorders>
            <w:shd w:fill="EFF3F8" w:val="clear"/>
            <w:tcMar>
              <w:top w:type="dxa" w:w="100"/>
              <w:left w:type="dxa" w:w="140"/>
              <w:bottom w:type="dxa" w:w="100"/>
              <w:right w:type="dxa" w:w="140"/>
            </w:tcMar>
          </w:tcPr>
          <w:p>
            <w:r>
              <w:rPr>
                <w:rFonts w:ascii="Arial" w:cs="Arial" w:eastAsia="Arial" w:hAnsi="Arial"/>
                <w:color w:val="1A2438"/>
                <w:sz w:val="20"/>
                <w:szCs w:val="20"/>
              </w:rPr>
              <w:t xml:space="preserve">Professional and thorough</w:t>
            </w:r>
          </w:p>
        </w:tc>
        <w:tc>
          <w:tcPr>
            <w:tcW w:type="dxa" w:w="3013"/>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color w:val="1A2438"/>
                <w:sz w:val="20"/>
                <w:szCs w:val="20"/>
              </w:rPr>
              <w:t xml:space="preserve">Expensive, slow, only covers legal/financial. Doesn't capture funeral wishes or who to call first.</w:t>
            </w:r>
          </w:p>
        </w:tc>
      </w:tr>
    </w:tbl>
    <w:p>
      <w:pPr>
        <w:spacing w:after="160"/>
      </w:pPr>
      <w:r>
        <w:t xml:space="preserve"/>
      </w:r>
    </w:p>
    <w:p>
      <w:pPr>
        <w:pStyle w:val="Heading2"/>
        <w:spacing w:after="120" w:before="280"/>
      </w:pPr>
      <w:r>
        <w:rPr>
          <w:rFonts w:ascii="Arial" w:cs="Arial" w:eastAsia="Arial" w:hAnsi="Arial"/>
          <w:b/>
          <w:bCs/>
          <w:color w:val="2C3E5D"/>
          <w:sz w:val="28"/>
          <w:szCs w:val="28"/>
        </w:rPr>
        <w:t xml:space="preserve">The value proposition in one sentence</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single" w:color="D97D5C" w:sz="20"/>
              <w:bottom w:val="none" w:color="FFFFFF" w:sz="0"/>
              <w:right w:val="none" w:color="FFFFFF" w:sz="0"/>
            </w:tcBorders>
            <w:shd w:fill="EFF3F8" w:val="clear"/>
            <w:tcMar>
              <w:top w:type="dxa" w:w="120"/>
              <w:left w:type="dxa" w:w="120"/>
              <w:bottom w:type="dxa" w:w="120"/>
              <w:right w:type="dxa" w:w="0"/>
            </w:tcMar>
          </w:tcPr>
          <w:p>
            <w:r>
              <w:t xml:space="preserve"/>
            </w:r>
          </w:p>
        </w:tc>
        <w:tc>
          <w:tcPr>
            <w:tcW w:type="dxa" w:w="8826"/>
            <w:tcBorders>
              <w:top w:val="none" w:color="FFFFFF" w:sz="0"/>
              <w:left w:val="none" w:color="FFFFFF" w:sz="0"/>
              <w:bottom w:val="none" w:color="FFFFFF" w:sz="0"/>
              <w:right w:val="none" w:color="FFFFFF" w:sz="0"/>
            </w:tcBorders>
            <w:shd w:fill="EFF3F8" w:val="clear"/>
            <w:tcMar>
              <w:top w:type="dxa" w:w="120"/>
              <w:left w:type="dxa" w:w="160"/>
              <w:bottom w:type="dxa" w:w="120"/>
              <w:right w:type="dxa" w:w="160"/>
            </w:tcMar>
          </w:tcPr>
          <w:p>
            <w:r>
              <w:rPr>
                <w:rFonts w:ascii="Arial" w:cs="Arial" w:eastAsia="Arial" w:hAnsi="Arial"/>
                <w:color w:val="1A2438"/>
                <w:sz w:val="21"/>
                <w:szCs w:val="21"/>
              </w:rPr>
              <w:t xml:space="preserve">When I'm Gone helps people over 45 leave their family a clear, private record of everything practical they will need — accounts, contacts, funeral wishes, documents — at a one-off price of £7.95, with no tech skills required and nothing stored on our servers.</w:t>
            </w:r>
          </w:p>
        </w:tc>
      </w:tr>
    </w:tbl>
    <w:p>
      <w:pPr>
        <w:spacing w:after="80"/>
      </w:pPr>
      <w:r>
        <w:t xml:space="preserve"/>
      </w:r>
    </w:p>
    <w:p>
      <w:pPr>
        <w:spacing w:after="140"/>
      </w:pPr>
      <w:r>
        <w:rPr>
          <w:rFonts w:ascii="Arial" w:cs="Arial" w:eastAsia="Arial" w:hAnsi="Arial"/>
          <w:b w:val="false"/>
          <w:bCs w:val="false"/>
          <w:color w:val="1A2438"/>
          <w:sz w:val="22"/>
          <w:szCs w:val="22"/>
        </w:rPr>
        <w:t xml:space="preserve">Three things make this hard to copy:</w:t>
      </w:r>
    </w:p>
    <w:p>
      <w:pPr>
        <w:pStyle w:val="ListParagraph"/>
        <w:numPr>
          <w:ilvl w:val="0"/>
          <w:numId w:val="2"/>
        </w:numPr>
        <w:spacing w:after="80"/>
      </w:pPr>
      <w:r>
        <w:rPr>
          <w:rFonts w:ascii="Arial" w:cs="Arial" w:eastAsia="Arial" w:hAnsi="Arial"/>
          <w:color w:val="1A2438"/>
          <w:sz w:val="22"/>
          <w:szCs w:val="22"/>
        </w:rPr>
        <w:t xml:space="preserve">The price is low enough to be an impulse buy — no subscription anxiety, no commitment</w:t>
      </w:r>
    </w:p>
    <w:p>
      <w:pPr>
        <w:pStyle w:val="ListParagraph"/>
        <w:numPr>
          <w:ilvl w:val="0"/>
          <w:numId w:val="2"/>
        </w:numPr>
        <w:spacing w:after="80"/>
      </w:pPr>
      <w:r>
        <w:rPr>
          <w:rFonts w:ascii="Arial" w:cs="Arial" w:eastAsia="Arial" w:hAnsi="Arial"/>
          <w:color w:val="1A2438"/>
          <w:sz w:val="22"/>
          <w:szCs w:val="22"/>
        </w:rPr>
        <w:t xml:space="preserve">The encryption model means nothing leaves the device — which is exactly what older users need to hear</w:t>
      </w:r>
    </w:p>
    <w:p>
      <w:pPr>
        <w:pStyle w:val="ListParagraph"/>
        <w:numPr>
          <w:ilvl w:val="0"/>
          <w:numId w:val="2"/>
        </w:numPr>
        <w:spacing w:after="80"/>
      </w:pPr>
      <w:r>
        <w:rPr>
          <w:rFonts w:ascii="Arial" w:cs="Arial" w:eastAsia="Arial" w:hAnsi="Arial"/>
          <w:color w:val="1A2438"/>
          <w:sz w:val="22"/>
          <w:szCs w:val="22"/>
        </w:rPr>
        <w:t xml:space="preserve">It sits in a gap nobody owns: too personal for estate platforms, too structured for a notebook</w:t>
      </w:r>
    </w:p>
    <w:p>
      <w:r>
        <w:br w:type="page"/>
      </w:r>
    </w:p>
    <w:p>
      <w:pPr>
        <w:spacing w:after="80"/>
      </w:pPr>
      <w:r>
        <w:rPr>
          <w:rFonts w:ascii="Arial" w:cs="Arial" w:eastAsia="Arial" w:hAnsi="Arial"/>
          <w:b/>
          <w:bCs/>
          <w:color w:val="D97D5C"/>
          <w:spacing w:val="120"/>
          <w:sz w:val="18"/>
          <w:szCs w:val="18"/>
        </w:rPr>
        <w:t xml:space="preserve">SECTION 2</w:t>
      </w:r>
    </w:p>
    <w:p>
      <w:pPr>
        <w:pStyle w:val="Heading1"/>
        <w:spacing w:after="160" w:before="360"/>
      </w:pPr>
      <w:r>
        <w:rPr>
          <w:rFonts w:ascii="Arial" w:cs="Arial" w:eastAsia="Arial" w:hAnsi="Arial"/>
          <w:b/>
          <w:bCs/>
          <w:color w:val="2C3E5D"/>
          <w:sz w:val="36"/>
          <w:szCs w:val="36"/>
        </w:rPr>
        <w:t xml:space="preserve">Landscape Analysis</w:t>
      </w:r>
    </w:p>
    <w:p>
      <w:pPr>
        <w:spacing w:after="140"/>
      </w:pPr>
      <w:r>
        <w:rPr>
          <w:rFonts w:ascii="Arial" w:cs="Arial" w:eastAsia="Arial" w:hAnsi="Arial"/>
          <w:b w:val="false"/>
          <w:bCs w:val="false"/>
          <w:color w:val="1A2438"/>
          <w:sz w:val="22"/>
          <w:szCs w:val="22"/>
        </w:rPr>
        <w:t xml:space="preserve">This section maps the market: how big it is, who else is in it, and — most usefully — where the gaps are that When I'm Gone can own.</w:t>
      </w:r>
    </w:p>
    <w:p>
      <w:pPr>
        <w:spacing w:after="80"/>
      </w:pPr>
      <w:r>
        <w:t xml:space="preserve"/>
      </w:r>
    </w:p>
    <w:p>
      <w:pPr>
        <w:pStyle w:val="Heading2"/>
        <w:spacing w:after="120" w:before="280"/>
      </w:pPr>
      <w:r>
        <w:rPr>
          <w:rFonts w:ascii="Arial" w:cs="Arial" w:eastAsia="Arial" w:hAnsi="Arial"/>
          <w:b/>
          <w:bCs/>
          <w:color w:val="2C3E5D"/>
          <w:sz w:val="28"/>
          <w:szCs w:val="28"/>
        </w:rPr>
        <w:t xml:space="preserve">How big is this market?</w:t>
      </w:r>
    </w:p>
    <w:p>
      <w:pPr>
        <w:spacing w:after="140"/>
      </w:pPr>
      <w:r>
        <w:rPr>
          <w:rFonts w:ascii="Arial" w:cs="Arial" w:eastAsia="Arial" w:hAnsi="Arial"/>
          <w:b w:val="false"/>
          <w:bCs w:val="false"/>
          <w:color w:val="1A2438"/>
          <w:sz w:val="22"/>
          <w:szCs w:val="22"/>
        </w:rPr>
        <w:t xml:space="preserve">The global end-of-life planning market was valued at $36.6 billion in 2025 and is growing at 9.5% per year, reaching a projected $56 billion by 2030. Growth is driven by ageing populations, greater digital acceptance among over-65s, and a cultural shift toward open conversation about death.</w:t>
      </w:r>
    </w:p>
    <w:p>
      <w:pPr>
        <w:spacing w:after="140"/>
      </w:pPr>
      <w:r>
        <w:rPr>
          <w:rFonts w:ascii="Arial" w:cs="Arial" w:eastAsia="Arial" w:hAnsi="Arial"/>
          <w:b w:val="false"/>
          <w:bCs w:val="false"/>
          <w:color w:val="1A2438"/>
          <w:sz w:val="22"/>
          <w:szCs w:val="22"/>
        </w:rPr>
        <w:t xml:space="preserve">For the UK specifically:</w:t>
      </w:r>
    </w:p>
    <w:p>
      <w:pPr>
        <w:pStyle w:val="ListParagraph"/>
        <w:numPr>
          <w:ilvl w:val="0"/>
          <w:numId w:val="2"/>
        </w:numPr>
        <w:spacing w:after="80"/>
      </w:pPr>
      <w:r>
        <w:rPr>
          <w:rFonts w:ascii="Arial" w:cs="Arial" w:eastAsia="Arial" w:hAnsi="Arial"/>
          <w:color w:val="1A2438"/>
          <w:sz w:val="22"/>
          <w:szCs w:val="22"/>
        </w:rPr>
        <w:t xml:space="preserve">Around 12 million people are aged 65 or over — growing every year</w:t>
      </w:r>
    </w:p>
    <w:p>
      <w:pPr>
        <w:pStyle w:val="ListParagraph"/>
        <w:numPr>
          <w:ilvl w:val="0"/>
          <w:numId w:val="2"/>
        </w:numPr>
        <w:spacing w:after="80"/>
      </w:pPr>
      <w:r>
        <w:rPr>
          <w:rFonts w:ascii="Arial" w:cs="Arial" w:eastAsia="Arial" w:hAnsi="Arial"/>
          <w:color w:val="1A2438"/>
          <w:sz w:val="22"/>
          <w:szCs w:val="22"/>
        </w:rPr>
        <w:t xml:space="preserve">Smartphone ownership among over-50s has risen from 55% in 2016 to 90% in 2025</w:t>
      </w:r>
    </w:p>
    <w:p>
      <w:pPr>
        <w:pStyle w:val="ListParagraph"/>
        <w:numPr>
          <w:ilvl w:val="0"/>
          <w:numId w:val="2"/>
        </w:numPr>
        <w:spacing w:after="80"/>
      </w:pPr>
      <w:r>
        <w:rPr>
          <w:rFonts w:ascii="Arial" w:cs="Arial" w:eastAsia="Arial" w:hAnsi="Arial"/>
          <w:color w:val="1A2438"/>
          <w:sz w:val="22"/>
          <w:szCs w:val="22"/>
        </w:rPr>
        <w:t xml:space="preserve">Two-thirds of adults 50+ agree that technology makes their lives easier</w:t>
      </w:r>
    </w:p>
    <w:p>
      <w:pPr>
        <w:pStyle w:val="ListParagraph"/>
        <w:numPr>
          <w:ilvl w:val="0"/>
          <w:numId w:val="2"/>
        </w:numPr>
        <w:spacing w:after="80"/>
      </w:pPr>
      <w:r>
        <w:rPr>
          <w:rFonts w:ascii="Arial" w:cs="Arial" w:eastAsia="Arial" w:hAnsi="Arial"/>
          <w:color w:val="1A2438"/>
          <w:sz w:val="22"/>
          <w:szCs w:val="22"/>
        </w:rPr>
        <w:t xml:space="preserve">Approximately 650,000 deaths occur in the UK each year — each one represents a family that had to navigate exactly the problem When I'm Gone solves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single" w:color="2C3E5D" w:sz="20"/>
              <w:bottom w:val="none" w:color="FFFFFF" w:sz="0"/>
              <w:right w:val="none" w:color="FFFFFF" w:sz="0"/>
            </w:tcBorders>
            <w:shd w:fill="EEF3FA" w:val="clear"/>
            <w:tcMar>
              <w:top w:type="dxa" w:w="120"/>
              <w:left w:type="dxa" w:w="120"/>
              <w:bottom w:type="dxa" w:w="120"/>
              <w:right w:type="dxa" w:w="0"/>
            </w:tcMar>
          </w:tcPr>
          <w:p>
            <w:r>
              <w:t xml:space="preserve"/>
            </w:r>
          </w:p>
        </w:tc>
        <w:tc>
          <w:tcPr>
            <w:tcW w:type="dxa" w:w="8826"/>
            <w:tcBorders>
              <w:top w:val="none" w:color="FFFFFF" w:sz="0"/>
              <w:left w:val="none" w:color="FFFFFF" w:sz="0"/>
              <w:bottom w:val="none" w:color="FFFFFF" w:sz="0"/>
              <w:right w:val="none" w:color="FFFFFF" w:sz="0"/>
            </w:tcBorders>
            <w:shd w:fill="EEF3FA" w:val="clear"/>
            <w:tcMar>
              <w:top w:type="dxa" w:w="120"/>
              <w:left w:type="dxa" w:w="160"/>
              <w:bottom w:type="dxa" w:w="120"/>
              <w:right w:type="dxa" w:w="160"/>
            </w:tcMar>
          </w:tcPr>
          <w:p>
            <w:r>
              <w:rPr>
                <w:rFonts w:ascii="Arial" w:cs="Arial" w:eastAsia="Arial" w:hAnsi="Arial"/>
                <w:color w:val="1A2438"/>
                <w:sz w:val="21"/>
                <w:szCs w:val="21"/>
              </w:rPr>
              <w:t xml:space="preserve">The realistic addressable market in the UK is any person over 40 with assets, dependants, or opinions about their own funeral. That is tens of millions of people.</w:t>
            </w:r>
          </w:p>
        </w:tc>
      </w:tr>
    </w:tbl>
    <w:p>
      <w:pPr>
        <w:spacing w:after="140"/>
      </w:pPr>
      <w:r>
        <w:t xml:space="preserve"/>
      </w:r>
    </w:p>
    <w:p>
      <w:pPr>
        <w:pStyle w:val="Heading2"/>
        <w:spacing w:after="120" w:before="280"/>
      </w:pPr>
      <w:r>
        <w:rPr>
          <w:rFonts w:ascii="Arial" w:cs="Arial" w:eastAsia="Arial" w:hAnsi="Arial"/>
          <w:b/>
          <w:bCs/>
          <w:color w:val="2C3E5D"/>
          <w:sz w:val="28"/>
          <w:szCs w:val="28"/>
        </w:rPr>
        <w:t xml:space="preserve">Who else is in this space?</w:t>
      </w:r>
    </w:p>
    <w:p>
      <w:pPr>
        <w:spacing w:after="140"/>
      </w:pPr>
      <w:r>
        <w:rPr>
          <w:rFonts w:ascii="Arial" w:cs="Arial" w:eastAsia="Arial" w:hAnsi="Arial"/>
          <w:b w:val="false"/>
          <w:bCs w:val="false"/>
          <w:color w:val="1A2438"/>
          <w:sz w:val="22"/>
          <w:szCs w:val="22"/>
        </w:rPr>
        <w:t xml:space="preserve">Competitors fall into five distinct types. None of them owns the same space as When I'm Gone.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1400"/>
        <w:gridCol w:w="2026"/>
      </w:tblGrid>
      <w:tr>
        <w:tc>
          <w:tcPr>
            <w:tcW w:type="dxa" w:w="2000"/>
            <w:tcBorders>
              <w:top w:val="single" w:color="D0D8E4" w:sz="1"/>
              <w:left w:val="single" w:color="D0D8E4" w:sz="1"/>
              <w:bottom w:val="single" w:color="D0D8E4" w:sz="1"/>
              <w:right w:val="single" w:color="D0D8E4" w:sz="1"/>
            </w:tcBorders>
            <w:shd w:fill="2C3E5D" w:val="clear"/>
            <w:tcMar>
              <w:top w:type="dxa" w:w="80"/>
              <w:left w:type="dxa" w:w="120"/>
              <w:bottom w:type="dxa" w:w="80"/>
              <w:right w:type="dxa" w:w="120"/>
            </w:tcMar>
          </w:tcPr>
          <w:p>
            <w:r>
              <w:rPr>
                <w:rFonts w:ascii="Arial" w:cs="Arial" w:eastAsia="Arial" w:hAnsi="Arial"/>
                <w:b/>
                <w:bCs/>
                <w:color w:val="FFFFFF"/>
                <w:sz w:val="18"/>
                <w:szCs w:val="18"/>
              </w:rPr>
              <w:t xml:space="preserve">Name / type</w:t>
            </w:r>
          </w:p>
        </w:tc>
        <w:tc>
          <w:tcPr>
            <w:tcW w:type="dxa" w:w="2200"/>
            <w:tcBorders>
              <w:top w:val="single" w:color="D0D8E4" w:sz="1"/>
              <w:left w:val="single" w:color="D0D8E4" w:sz="1"/>
              <w:bottom w:val="single" w:color="D0D8E4" w:sz="1"/>
              <w:right w:val="single" w:color="D0D8E4" w:sz="1"/>
            </w:tcBorders>
            <w:shd w:fill="2C3E5D"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1400"/>
            <w:tcBorders>
              <w:top w:val="single" w:color="D0D8E4" w:sz="1"/>
              <w:left w:val="single" w:color="D0D8E4" w:sz="1"/>
              <w:bottom w:val="single" w:color="D0D8E4" w:sz="1"/>
              <w:right w:val="single" w:color="D0D8E4" w:sz="1"/>
            </w:tcBorders>
            <w:shd w:fill="2C3E5D" w:val="clear"/>
            <w:tcMar>
              <w:top w:type="dxa" w:w="80"/>
              <w:left w:type="dxa" w:w="120"/>
              <w:bottom w:type="dxa" w:w="80"/>
              <w:right w:type="dxa" w:w="120"/>
            </w:tcMar>
          </w:tcPr>
          <w:p>
            <w:r>
              <w:rPr>
                <w:rFonts w:ascii="Arial" w:cs="Arial" w:eastAsia="Arial" w:hAnsi="Arial"/>
                <w:b/>
                <w:bCs/>
                <w:color w:val="FFFFFF"/>
                <w:sz w:val="18"/>
                <w:szCs w:val="18"/>
              </w:rPr>
              <w:t xml:space="preserve">Where</w:t>
            </w:r>
          </w:p>
        </w:tc>
        <w:tc>
          <w:tcPr>
            <w:tcW w:type="dxa" w:w="1400"/>
            <w:tcBorders>
              <w:top w:val="single" w:color="D0D8E4" w:sz="1"/>
              <w:left w:val="single" w:color="D0D8E4" w:sz="1"/>
              <w:bottom w:val="single" w:color="D0D8E4" w:sz="1"/>
              <w:right w:val="single" w:color="D0D8E4" w:sz="1"/>
            </w:tcBorders>
            <w:shd w:fill="2C3E5D"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2026"/>
            <w:tcBorders>
              <w:top w:val="single" w:color="D0D8E4" w:sz="1"/>
              <w:left w:val="single" w:color="D0D8E4" w:sz="1"/>
              <w:bottom w:val="single" w:color="D0D8E4" w:sz="1"/>
              <w:right w:val="single" w:color="D0D8E4" w:sz="1"/>
            </w:tcBorders>
            <w:shd w:fill="2C3E5D" w:val="clear"/>
            <w:tcMar>
              <w:top w:type="dxa" w:w="80"/>
              <w:left w:type="dxa" w:w="120"/>
              <w:bottom w:type="dxa" w:w="80"/>
              <w:right w:type="dxa" w:w="120"/>
            </w:tcMar>
          </w:tcPr>
          <w:p>
            <w:r>
              <w:rPr>
                <w:rFonts w:ascii="Arial" w:cs="Arial" w:eastAsia="Arial" w:hAnsi="Arial"/>
                <w:b/>
                <w:bCs/>
                <w:color w:val="FFFFFF"/>
                <w:sz w:val="18"/>
                <w:szCs w:val="18"/>
              </w:rPr>
              <w:t xml:space="preserve">The gap</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Everplans</w:t>
            </w:r>
          </w:p>
        </w:tc>
        <w:tc>
          <w:tcPr>
            <w:tcW w:type="dxa" w:w="22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Full digital estate vault</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US</w:t>
            </w:r>
          </w:p>
        </w:tc>
        <w:tc>
          <w:tcPr>
            <w:tcW w:type="dxa" w:w="14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$75/yr</w:t>
            </w:r>
          </w:p>
        </w:tc>
        <w:tc>
          <w:tcPr>
            <w:tcW w:type="dxa" w:w="202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Subscription, complex, US-focused</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Lyfeguard</w:t>
            </w:r>
          </w:p>
        </w:tc>
        <w:tc>
          <w:tcPr>
            <w:tcW w:type="dxa" w:w="22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Life management + legacy platform</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UK</w:t>
            </w:r>
          </w:p>
        </w:tc>
        <w:tc>
          <w:tcPr>
            <w:tcW w:type="dxa" w:w="14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Subscription</w:t>
            </w:r>
          </w:p>
        </w:tc>
        <w:tc>
          <w:tcPr>
            <w:tcW w:type="dxa" w:w="202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Broad scope, higher friction, adviser-facing</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Kinvault</w:t>
            </w:r>
          </w:p>
        </w:tc>
        <w:tc>
          <w:tcPr>
            <w:tcW w:type="dxa" w:w="22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Document + wishes organiser</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UK</w:t>
            </w:r>
          </w:p>
        </w:tc>
        <w:tc>
          <w:tcPr>
            <w:tcW w:type="dxa" w:w="14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Subscription</w:t>
            </w:r>
          </w:p>
        </w:tc>
        <w:tc>
          <w:tcPr>
            <w:tcW w:type="dxa" w:w="202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Aimed at families post-death, not pre-planning</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Settld</w:t>
            </w:r>
          </w:p>
        </w:tc>
        <w:tc>
          <w:tcPr>
            <w:tcW w:type="dxa" w:w="22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Post-death account notification</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UK</w:t>
            </w:r>
          </w:p>
        </w:tc>
        <w:tc>
          <w:tcPr>
            <w:tcW w:type="dxa" w:w="14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Free</w:t>
            </w:r>
          </w:p>
        </w:tc>
        <w:tc>
          <w:tcPr>
            <w:tcW w:type="dxa" w:w="202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Different job — notifying accounts AFTER death, not planning</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Clocr / Cipherwill</w:t>
            </w:r>
          </w:p>
        </w:tc>
        <w:tc>
          <w:tcPr>
            <w:tcW w:type="dxa" w:w="22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Digital will + legacy capsule</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US</w:t>
            </w:r>
          </w:p>
        </w:tc>
        <w:tc>
          <w:tcPr>
            <w:tcW w:type="dxa" w:w="14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Free/paid tier</w:t>
            </w:r>
          </w:p>
        </w:tc>
        <w:tc>
          <w:tcPr>
            <w:tcW w:type="dxa" w:w="202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Password-focused, US-centric, complex</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Physical workbooks (Amazon, Etsy)</w:t>
            </w:r>
          </w:p>
        </w:tc>
        <w:tc>
          <w:tcPr>
            <w:tcW w:type="dxa" w:w="22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Paper planners</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UK / Global</w:t>
            </w:r>
          </w:p>
        </w:tc>
        <w:tc>
          <w:tcPr>
            <w:tcW w:type="dxa" w:w="14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£8-£25</w:t>
            </w:r>
          </w:p>
        </w:tc>
        <w:tc>
          <w:tcPr>
            <w:tcW w:type="dxa" w:w="202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No encryption, no structure, easily lost</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Solicitor / IFA-led services</w:t>
            </w:r>
          </w:p>
        </w:tc>
        <w:tc>
          <w:tcPr>
            <w:tcW w:type="dxa" w:w="22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Professional estate planning</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UK</w:t>
            </w:r>
          </w:p>
        </w:tc>
        <w:tc>
          <w:tcPr>
            <w:tcW w:type="dxa" w:w="14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£hundreds</w:t>
            </w:r>
          </w:p>
        </w:tc>
        <w:tc>
          <w:tcPr>
            <w:tcW w:type="dxa" w:w="202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Expensive, covers legal only, no practical guide</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Age UK / hospice guides</w:t>
            </w:r>
          </w:p>
        </w:tc>
        <w:tc>
          <w:tcPr>
            <w:tcW w:type="dxa" w:w="22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Charity resources</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UK</w:t>
            </w:r>
          </w:p>
        </w:tc>
        <w:tc>
          <w:tcPr>
            <w:tcW w:type="dxa" w:w="14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b w:val="false"/>
                <w:bCs w:val="false"/>
                <w:color w:val="1A2438"/>
                <w:sz w:val="18"/>
                <w:szCs w:val="18"/>
              </w:rPr>
              <w:t xml:space="preserve">Free</w:t>
            </w:r>
          </w:p>
        </w:tc>
        <w:tc>
          <w:tcPr>
            <w:tcW w:type="dxa" w:w="202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1A2438"/>
                <w:sz w:val="18"/>
                <w:szCs w:val="18"/>
              </w:rPr>
              <w:t xml:space="preserve">Basic, not private, not a product</w:t>
            </w:r>
          </w:p>
        </w:tc>
      </w:tr>
    </w:tbl>
    <w:p>
      <w:pPr>
        <w:spacing w:after="160"/>
      </w:pPr>
      <w:r>
        <w:t xml:space="preserve"/>
      </w:r>
    </w:p>
    <w:p>
      <w:pPr>
        <w:pStyle w:val="Heading2"/>
        <w:spacing w:after="120" w:before="280"/>
      </w:pPr>
      <w:r>
        <w:rPr>
          <w:rFonts w:ascii="Arial" w:cs="Arial" w:eastAsia="Arial" w:hAnsi="Arial"/>
          <w:b/>
          <w:bCs/>
          <w:color w:val="2C3E5D"/>
          <w:sz w:val="28"/>
          <w:szCs w:val="28"/>
        </w:rPr>
        <w:t xml:space="preserve">Where are the gaps?</w:t>
      </w:r>
    </w:p>
    <w:p>
      <w:pPr>
        <w:spacing w:after="140"/>
      </w:pPr>
      <w:r>
        <w:rPr>
          <w:rFonts w:ascii="Arial" w:cs="Arial" w:eastAsia="Arial" w:hAnsi="Arial"/>
          <w:b w:val="false"/>
          <w:bCs w:val="false"/>
          <w:color w:val="1A2438"/>
          <w:sz w:val="22"/>
          <w:szCs w:val="22"/>
        </w:rPr>
        <w:t xml:space="preserve">This is the most useful part. Based on the landscape, there are five clear opportunities that When I'm Gone is positioned to own: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D8E4" w:sz="1"/>
              <w:left w:val="single" w:color="D0D8E4" w:sz="1"/>
              <w:bottom w:val="single" w:color="D0D8E4" w:sz="1"/>
              <w:right w:val="single" w:color="D0D8E4" w:sz="1"/>
            </w:tcBorders>
            <w:shd w:fill="2C3E5D"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6226"/>
            <w:tcBorders>
              <w:top w:val="single" w:color="D0D8E4" w:sz="1"/>
              <w:left w:val="single" w:color="D0D8E4" w:sz="1"/>
              <w:bottom w:val="single" w:color="D0D8E4" w:sz="1"/>
              <w:right w:val="single" w:color="D0D8E4" w:sz="1"/>
            </w:tcBorders>
            <w:shd w:fill="2C3E5D" w:val="clear"/>
            <w:tcMar>
              <w:top w:type="dxa" w:w="100"/>
              <w:left w:type="dxa" w:w="140"/>
              <w:bottom w:type="dxa" w:w="100"/>
              <w:right w:type="dxa" w:w="140"/>
            </w:tcMar>
          </w:tcPr>
          <w:p>
            <w:r>
              <w:rPr>
                <w:rFonts w:ascii="Arial" w:cs="Arial" w:eastAsia="Arial" w:hAnsi="Arial"/>
                <w:b/>
                <w:bCs/>
                <w:color w:val="FFFFFF"/>
                <w:sz w:val="20"/>
                <w:szCs w:val="20"/>
              </w:rPr>
              <w:t xml:space="preserve">What it means for When I'm Gone</w:t>
            </w:r>
          </w:p>
        </w:tc>
      </w:tr>
      <w:tr>
        <w:tc>
          <w:tcPr>
            <w:tcW w:type="dxa" w:w="2800"/>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b/>
                <w:bCs/>
                <w:color w:val="2C3E5D"/>
                <w:sz w:val="20"/>
                <w:szCs w:val="20"/>
              </w:rPr>
              <w:t xml:space="preserve">No UK-owned consumer product at a low one-off price</w:t>
            </w:r>
          </w:p>
        </w:tc>
        <w:tc>
          <w:tcPr>
            <w:tcW w:type="dxa" w:w="6226"/>
            <w:tcBorders>
              <w:top w:val="single" w:color="D0D8E4" w:sz="1"/>
              <w:left w:val="single" w:color="D0D8E4" w:sz="1"/>
              <w:bottom w:val="single" w:color="D0D8E4" w:sz="1"/>
              <w:right w:val="single" w:color="D0D8E4" w:sz="1"/>
            </w:tcBorders>
            <w:shd w:fill="EFF3F8" w:val="clear"/>
            <w:tcMar>
              <w:top w:type="dxa" w:w="100"/>
              <w:left w:type="dxa" w:w="140"/>
              <w:bottom w:type="dxa" w:w="100"/>
              <w:right w:type="dxa" w:w="140"/>
            </w:tcMar>
          </w:tcPr>
          <w:p>
            <w:r>
              <w:rPr>
                <w:rFonts w:ascii="Arial" w:cs="Arial" w:eastAsia="Arial" w:hAnsi="Arial"/>
                <w:color w:val="1A2438"/>
                <w:sz w:val="20"/>
                <w:szCs w:val="20"/>
              </w:rPr>
              <w:t xml:space="preserve">Every digital competitor either uses subscriptions or is US-focused. A UK product at £7.95 with a one-off model has no direct competition.</w:t>
            </w:r>
          </w:p>
        </w:tc>
      </w:tr>
      <w:tr>
        <w:tc>
          <w:tcPr>
            <w:tcW w:type="dxa" w:w="2800"/>
            <w:tcBorders>
              <w:top w:val="single" w:color="D0D8E4" w:sz="1"/>
              <w:left w:val="single" w:color="D0D8E4" w:sz="1"/>
              <w:bottom w:val="single" w:color="D0D8E4" w:sz="1"/>
              <w:right w:val="single" w:color="D0D8E4" w:sz="1"/>
            </w:tcBorders>
            <w:shd w:fill="EFF3F8" w:val="clear"/>
            <w:tcMar>
              <w:top w:type="dxa" w:w="100"/>
              <w:left w:type="dxa" w:w="140"/>
              <w:bottom w:type="dxa" w:w="100"/>
              <w:right w:type="dxa" w:w="140"/>
            </w:tcMar>
          </w:tcPr>
          <w:p>
            <w:r>
              <w:rPr>
                <w:rFonts w:ascii="Arial" w:cs="Arial" w:eastAsia="Arial" w:hAnsi="Arial"/>
                <w:b/>
                <w:bCs/>
                <w:color w:val="2C3E5D"/>
                <w:sz w:val="20"/>
                <w:szCs w:val="20"/>
              </w:rPr>
              <w:t xml:space="preserve">Nobody frames it as 'the companion to your will'</w:t>
            </w:r>
          </w:p>
        </w:tc>
        <w:tc>
          <w:tcPr>
            <w:tcW w:type="dxa" w:w="6226"/>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color w:val="1A2438"/>
                <w:sz w:val="20"/>
                <w:szCs w:val="20"/>
              </w:rPr>
              <w:t xml:space="preserve">Solicitors write thousands of wills every year. None of them hand clients a tool for the practical information a will doesn't capture. This gap is enormous and easy to enter.</w:t>
            </w:r>
          </w:p>
        </w:tc>
      </w:tr>
      <w:tr>
        <w:tc>
          <w:tcPr>
            <w:tcW w:type="dxa" w:w="2800"/>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b/>
                <w:bCs/>
                <w:color w:val="2C3E5D"/>
                <w:sz w:val="20"/>
                <w:szCs w:val="20"/>
              </w:rPr>
              <w:t xml:space="preserve">Physical + digital bundle</w:t>
            </w:r>
          </w:p>
        </w:tc>
        <w:tc>
          <w:tcPr>
            <w:tcW w:type="dxa" w:w="6226"/>
            <w:tcBorders>
              <w:top w:val="single" w:color="D0D8E4" w:sz="1"/>
              <w:left w:val="single" w:color="D0D8E4" w:sz="1"/>
              <w:bottom w:val="single" w:color="D0D8E4" w:sz="1"/>
              <w:right w:val="single" w:color="D0D8E4" w:sz="1"/>
            </w:tcBorders>
            <w:shd w:fill="EFF3F8" w:val="clear"/>
            <w:tcMar>
              <w:top w:type="dxa" w:w="100"/>
              <w:left w:type="dxa" w:w="140"/>
              <w:bottom w:type="dxa" w:w="100"/>
              <w:right w:type="dxa" w:w="140"/>
            </w:tcMar>
          </w:tcPr>
          <w:p>
            <w:r>
              <w:rPr>
                <w:rFonts w:ascii="Arial" w:cs="Arial" w:eastAsia="Arial" w:hAnsi="Arial"/>
                <w:color w:val="1A2438"/>
                <w:sz w:val="20"/>
                <w:szCs w:val="20"/>
              </w:rPr>
              <w:t xml:space="preserve">The When I'm Gone book on Amazon is unusual. Very few competitors have both. This signals credibility and opens retail and gifting channels.</w:t>
            </w:r>
          </w:p>
        </w:tc>
      </w:tr>
      <w:tr>
        <w:tc>
          <w:tcPr>
            <w:tcW w:type="dxa" w:w="2800"/>
            <w:tcBorders>
              <w:top w:val="single" w:color="D0D8E4" w:sz="1"/>
              <w:left w:val="single" w:color="D0D8E4" w:sz="1"/>
              <w:bottom w:val="single" w:color="D0D8E4" w:sz="1"/>
              <w:right w:val="single" w:color="D0D8E4" w:sz="1"/>
            </w:tcBorders>
            <w:shd w:fill="EFF3F8" w:val="clear"/>
            <w:tcMar>
              <w:top w:type="dxa" w:w="100"/>
              <w:left w:type="dxa" w:w="140"/>
              <w:bottom w:type="dxa" w:w="100"/>
              <w:right w:type="dxa" w:w="140"/>
            </w:tcMar>
          </w:tcPr>
          <w:p>
            <w:r>
              <w:rPr>
                <w:rFonts w:ascii="Arial" w:cs="Arial" w:eastAsia="Arial" w:hAnsi="Arial"/>
                <w:b/>
                <w:bCs/>
                <w:color w:val="2C3E5D"/>
                <w:sz w:val="20"/>
                <w:szCs w:val="20"/>
              </w:rPr>
              <w:t xml:space="preserve">Gifting mechanic doesn't exist</w:t>
            </w:r>
          </w:p>
        </w:tc>
        <w:tc>
          <w:tcPr>
            <w:tcW w:type="dxa" w:w="6226"/>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color w:val="1A2438"/>
                <w:sz w:val="20"/>
                <w:szCs w:val="20"/>
              </w:rPr>
              <w:t xml:space="preserve">There is no good way to say 'I bought this for you, please fill it in.' A gift card or voucher mechanic would unlock a huge secondary market of adult children buying for parents.</w:t>
            </w:r>
          </w:p>
        </w:tc>
      </w:tr>
      <w:tr>
        <w:tc>
          <w:tcPr>
            <w:tcW w:type="dxa" w:w="2800"/>
            <w:tcBorders>
              <w:top w:val="single" w:color="D0D8E4" w:sz="1"/>
              <w:left w:val="single" w:color="D0D8E4" w:sz="1"/>
              <w:bottom w:val="single" w:color="D0D8E4" w:sz="1"/>
              <w:right w:val="single" w:color="D0D8E4" w:sz="1"/>
            </w:tcBorders>
            <w:shd w:fill="FFFFFF" w:val="clear"/>
            <w:tcMar>
              <w:top w:type="dxa" w:w="100"/>
              <w:left w:type="dxa" w:w="140"/>
              <w:bottom w:type="dxa" w:w="100"/>
              <w:right w:type="dxa" w:w="140"/>
            </w:tcMar>
          </w:tcPr>
          <w:p>
            <w:r>
              <w:rPr>
                <w:rFonts w:ascii="Arial" w:cs="Arial" w:eastAsia="Arial" w:hAnsi="Arial"/>
                <w:b/>
                <w:bCs/>
                <w:color w:val="2C3E5D"/>
                <w:sz w:val="20"/>
                <w:szCs w:val="20"/>
              </w:rPr>
              <w:t xml:space="preserve">No professional distribution channel</w:t>
            </w:r>
          </w:p>
        </w:tc>
        <w:tc>
          <w:tcPr>
            <w:tcW w:type="dxa" w:w="6226"/>
            <w:tcBorders>
              <w:top w:val="single" w:color="D0D8E4" w:sz="1"/>
              <w:left w:val="single" w:color="D0D8E4" w:sz="1"/>
              <w:bottom w:val="single" w:color="D0D8E4" w:sz="1"/>
              <w:right w:val="single" w:color="D0D8E4" w:sz="1"/>
            </w:tcBorders>
            <w:shd w:fill="EFF3F8" w:val="clear"/>
            <w:tcMar>
              <w:top w:type="dxa" w:w="100"/>
              <w:left w:type="dxa" w:w="140"/>
              <w:bottom w:type="dxa" w:w="100"/>
              <w:right w:type="dxa" w:w="140"/>
            </w:tcMar>
          </w:tcPr>
          <w:p>
            <w:r>
              <w:rPr>
                <w:rFonts w:ascii="Arial" w:cs="Arial" w:eastAsia="Arial" w:hAnsi="Arial"/>
                <w:color w:val="1A2438"/>
                <w:sz w:val="20"/>
                <w:szCs w:val="20"/>
              </w:rPr>
              <w:t xml:space="preserve">Solicitors, IFAs, funeral directors and care homes all talk to the exact customer. None of them have a product to hand clients. A bulk/referral model here could be the biggest growth lever of all.</w:t>
            </w:r>
          </w:p>
        </w:tc>
      </w:tr>
    </w:tbl>
    <w:p>
      <w:r>
        <w:br w:type="page"/>
      </w:r>
    </w:p>
    <w:p>
      <w:pPr>
        <w:spacing w:after="80"/>
      </w:pPr>
      <w:r>
        <w:rPr>
          <w:rFonts w:ascii="Arial" w:cs="Arial" w:eastAsia="Arial" w:hAnsi="Arial"/>
          <w:b/>
          <w:bCs/>
          <w:color w:val="D97D5C"/>
          <w:spacing w:val="120"/>
          <w:sz w:val="18"/>
          <w:szCs w:val="18"/>
        </w:rPr>
        <w:t xml:space="preserve">SECTION 3</w:t>
      </w:r>
    </w:p>
    <w:p>
      <w:pPr>
        <w:pStyle w:val="Heading1"/>
        <w:spacing w:after="160" w:before="360"/>
      </w:pPr>
      <w:r>
        <w:rPr>
          <w:rFonts w:ascii="Arial" w:cs="Arial" w:eastAsia="Arial" w:hAnsi="Arial"/>
          <w:b/>
          <w:bCs/>
          <w:color w:val="2C3E5D"/>
          <w:sz w:val="36"/>
          <w:szCs w:val="36"/>
        </w:rPr>
        <w:t xml:space="preserve">Strategy</w:t>
      </w:r>
    </w:p>
    <w:p>
      <w:pPr>
        <w:spacing w:after="140"/>
      </w:pPr>
      <w:r>
        <w:rPr>
          <w:rFonts w:ascii="Arial" w:cs="Arial" w:eastAsia="Arial" w:hAnsi="Arial"/>
          <w:b w:val="false"/>
          <w:bCs w:val="false"/>
          <w:color w:val="1A2438"/>
          <w:sz w:val="22"/>
          <w:szCs w:val="22"/>
        </w:rPr>
        <w:t xml:space="preserve">Strategy just means: what do you do first, and why? Here are the clearest moves, in priority order, based on everything above.</w:t>
      </w:r>
    </w:p>
    <w:p>
      <w:pPr>
        <w:spacing w:after="140"/>
      </w:pPr>
      <w:r>
        <w:rPr>
          <w:rFonts w:ascii="Arial" w:cs="Arial" w:eastAsia="Arial" w:hAnsi="Arial"/>
          <w:b w:val="false"/>
          <w:bCs w:val="false"/>
          <w:color w:val="1A2438"/>
          <w:sz w:val="22"/>
          <w:szCs w:val="22"/>
        </w:rPr>
        <w:t xml:space="preserve">The product is already good. The job now is to make sure the right people find it, and to open the channels where most growth is waiting.</w:t>
      </w:r>
    </w:p>
    <w:p>
      <w:pPr>
        <w:spacing w:after="80"/>
      </w:pPr>
      <w:r>
        <w:t xml:space="preserve"/>
      </w:r>
    </w:p>
    <w:p>
      <w:pPr>
        <w:pStyle w:val="Heading2"/>
        <w:spacing w:after="120" w:before="280"/>
      </w:pPr>
      <w:r>
        <w:rPr>
          <w:rFonts w:ascii="Arial" w:cs="Arial" w:eastAsia="Arial" w:hAnsi="Arial"/>
          <w:b/>
          <w:bCs/>
          <w:color w:val="2C3E5D"/>
          <w:sz w:val="28"/>
          <w:szCs w:val="28"/>
        </w:rPr>
        <w:t xml:space="preserve">Three growth levers</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2C3E5D" w:val="clear"/>
            <w:tcMar>
              <w:top w:type="dxa" w:w="180"/>
              <w:left w:type="dxa" w:w="160"/>
              <w:bottom w:type="dxa" w:w="180"/>
              <w:right w:type="dxa" w:w="160"/>
            </w:tcMar>
            <w:vAlign w:val="center"/>
          </w:tcPr>
          <w:p>
            <w:pPr>
              <w:jc w:val="center"/>
            </w:pPr>
            <w:r>
              <w:rPr>
                <w:rFonts w:ascii="Arial" w:cs="Arial" w:eastAsia="Arial" w:hAnsi="Arial"/>
                <w:b/>
                <w:bCs/>
                <w:color w:val="FFFFFF"/>
                <w:sz w:val="36"/>
                <w:szCs w:val="36"/>
              </w:rPr>
              <w:t xml:space="preserve">1</w:t>
            </w:r>
          </w:p>
        </w:tc>
        <w:tc>
          <w:tcPr>
            <w:tcW w:type="dxa" w:w="8226"/>
            <w:tcBorders>
              <w:top w:val="none" w:color="FFFFFF" w:sz="0"/>
              <w:left w:val="single" w:color="D0D8E4" w:sz="1"/>
              <w:bottom w:val="none" w:color="FFFFFF" w:sz="0"/>
              <w:right w:val="none" w:color="FFFFFF" w:sz="0"/>
            </w:tcBorders>
            <w:shd w:fill="EFF3F8" w:val="clear"/>
            <w:tcMar>
              <w:top w:type="dxa" w:w="140"/>
              <w:left w:type="dxa" w:w="180"/>
              <w:bottom w:type="dxa" w:w="140"/>
              <w:right w:type="dxa" w:w="180"/>
            </w:tcMar>
          </w:tcPr>
          <w:p>
            <w:pPr>
              <w:spacing w:after="60"/>
            </w:pPr>
            <w:r>
              <w:rPr>
                <w:rFonts w:ascii="Arial" w:cs="Arial" w:eastAsia="Arial" w:hAnsi="Arial"/>
                <w:b/>
                <w:bCs/>
                <w:color w:val="2C3E5D"/>
                <w:sz w:val="24"/>
                <w:szCs w:val="24"/>
              </w:rPr>
              <w:t xml:space="preserve">Direct-to-consumer: earn trust before the ask</w:t>
            </w:r>
            <w:r>
              <w:rPr>
                <w:rFonts w:ascii="Arial" w:cs="Arial" w:eastAsia="Arial" w:hAnsi="Arial"/>
                <w:color w:val="6B7589"/>
                <w:sz w:val="18"/>
                <w:szCs w:val="18"/>
              </w:rPr>
              <w:t xml:space="preserve">   Now</w:t>
            </w:r>
          </w:p>
          <w:p>
            <w:pPr>
              <w:spacing w:after="0"/>
            </w:pPr>
            <w:r>
              <w:rPr>
                <w:rFonts w:ascii="Arial" w:cs="Arial" w:eastAsia="Arial" w:hAnsi="Arial"/>
                <w:color w:val="1A2438"/>
                <w:sz w:val="20"/>
                <w:szCs w:val="20"/>
              </w:rPr>
              <w:t xml:space="preserve">The sample journals on the homepage are your most powerful conversion tool — people can see exactly what they are creating. Keep building content that helps people think about end-of-life planning (blog posts, guides) and let the product sell itself. The £7.95 price makes this an impulse purchase once someone is ready.</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2C3E5D" w:val="clear"/>
            <w:tcMar>
              <w:top w:type="dxa" w:w="180"/>
              <w:left w:type="dxa" w:w="160"/>
              <w:bottom w:type="dxa" w:w="180"/>
              <w:right w:type="dxa" w:w="160"/>
            </w:tcMar>
            <w:vAlign w:val="center"/>
          </w:tcPr>
          <w:p>
            <w:pPr>
              <w:jc w:val="center"/>
            </w:pPr>
            <w:r>
              <w:rPr>
                <w:rFonts w:ascii="Arial" w:cs="Arial" w:eastAsia="Arial" w:hAnsi="Arial"/>
                <w:b/>
                <w:bCs/>
                <w:color w:val="FFFFFF"/>
                <w:sz w:val="36"/>
                <w:szCs w:val="36"/>
              </w:rPr>
              <w:t xml:space="preserve">2</w:t>
            </w:r>
          </w:p>
        </w:tc>
        <w:tc>
          <w:tcPr>
            <w:tcW w:type="dxa" w:w="8226"/>
            <w:tcBorders>
              <w:top w:val="none" w:color="FFFFFF" w:sz="0"/>
              <w:left w:val="single" w:color="D0D8E4" w:sz="1"/>
              <w:bottom w:val="none" w:color="FFFFFF" w:sz="0"/>
              <w:right w:val="none" w:color="FFFFFF" w:sz="0"/>
            </w:tcBorders>
            <w:shd w:fill="EFF3F8" w:val="clear"/>
            <w:tcMar>
              <w:top w:type="dxa" w:w="140"/>
              <w:left w:type="dxa" w:w="180"/>
              <w:bottom w:type="dxa" w:w="140"/>
              <w:right w:type="dxa" w:w="180"/>
            </w:tcMar>
          </w:tcPr>
          <w:p>
            <w:pPr>
              <w:spacing w:after="60"/>
            </w:pPr>
            <w:r>
              <w:rPr>
                <w:rFonts w:ascii="Arial" w:cs="Arial" w:eastAsia="Arial" w:hAnsi="Arial"/>
                <w:b/>
                <w:bCs/>
                <w:color w:val="2C3E5D"/>
                <w:sz w:val="24"/>
                <w:szCs w:val="24"/>
              </w:rPr>
              <w:t xml:space="preserve">Professional distribution: one partner to start</w:t>
            </w:r>
            <w:r>
              <w:rPr>
                <w:rFonts w:ascii="Arial" w:cs="Arial" w:eastAsia="Arial" w:hAnsi="Arial"/>
                <w:color w:val="6B7589"/>
                <w:sz w:val="18"/>
                <w:szCs w:val="18"/>
              </w:rPr>
              <w:t xml:space="preserve">   Next 3 months</w:t>
            </w:r>
          </w:p>
          <w:p>
            <w:pPr>
              <w:spacing w:after="0"/>
            </w:pPr>
            <w:r>
              <w:rPr>
                <w:rFonts w:ascii="Arial" w:cs="Arial" w:eastAsia="Arial" w:hAnsi="Arial"/>
                <w:color w:val="1A2438"/>
                <w:sz w:val="20"/>
                <w:szCs w:val="20"/>
              </w:rPr>
              <w:t xml:space="preserve">Find a single solicitor or IFA who writes wills and ask them to recommend When I'm Gone to their clients. Offer a simple referral arrangement — even a bulk code at a discounted rate. If it works, replicate it. This is the highest-leverage channel in the business: one professional can refer hundreds of clients per year.</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2C3E5D" w:val="clear"/>
            <w:tcMar>
              <w:top w:type="dxa" w:w="180"/>
              <w:left w:type="dxa" w:w="160"/>
              <w:bottom w:type="dxa" w:w="180"/>
              <w:right w:type="dxa" w:w="160"/>
            </w:tcMar>
            <w:vAlign w:val="center"/>
          </w:tcPr>
          <w:p>
            <w:pPr>
              <w:jc w:val="center"/>
            </w:pPr>
            <w:r>
              <w:rPr>
                <w:rFonts w:ascii="Arial" w:cs="Arial" w:eastAsia="Arial" w:hAnsi="Arial"/>
                <w:b/>
                <w:bCs/>
                <w:color w:val="FFFFFF"/>
                <w:sz w:val="36"/>
                <w:szCs w:val="36"/>
              </w:rPr>
              <w:t xml:space="preserve">3</w:t>
            </w:r>
          </w:p>
        </w:tc>
        <w:tc>
          <w:tcPr>
            <w:tcW w:type="dxa" w:w="8226"/>
            <w:tcBorders>
              <w:top w:val="none" w:color="FFFFFF" w:sz="0"/>
              <w:left w:val="single" w:color="D0D8E4" w:sz="1"/>
              <w:bottom w:val="none" w:color="FFFFFF" w:sz="0"/>
              <w:right w:val="none" w:color="FFFFFF" w:sz="0"/>
            </w:tcBorders>
            <w:shd w:fill="EFF3F8" w:val="clear"/>
            <w:tcMar>
              <w:top w:type="dxa" w:w="140"/>
              <w:left w:type="dxa" w:w="180"/>
              <w:bottom w:type="dxa" w:w="140"/>
              <w:right w:type="dxa" w:w="180"/>
            </w:tcMar>
          </w:tcPr>
          <w:p>
            <w:pPr>
              <w:spacing w:after="60"/>
            </w:pPr>
            <w:r>
              <w:rPr>
                <w:rFonts w:ascii="Arial" w:cs="Arial" w:eastAsia="Arial" w:hAnsi="Arial"/>
                <w:b/>
                <w:bCs/>
                <w:color w:val="2C3E5D"/>
                <w:sz w:val="24"/>
                <w:szCs w:val="24"/>
              </w:rPr>
              <w:t xml:space="preserve">Gifting: make it easy to buy for someone else</w:t>
            </w:r>
            <w:r>
              <w:rPr>
                <w:rFonts w:ascii="Arial" w:cs="Arial" w:eastAsia="Arial" w:hAnsi="Arial"/>
                <w:color w:val="6B7589"/>
                <w:sz w:val="18"/>
                <w:szCs w:val="18"/>
              </w:rPr>
              <w:t xml:space="preserve">   Next 6 months</w:t>
            </w:r>
          </w:p>
          <w:p>
            <w:pPr>
              <w:spacing w:after="0"/>
            </w:pPr>
            <w:r>
              <w:rPr>
                <w:rFonts w:ascii="Arial" w:cs="Arial" w:eastAsia="Arial" w:hAnsi="Arial"/>
                <w:color w:val="1A2438"/>
                <w:sz w:val="20"/>
                <w:szCs w:val="20"/>
              </w:rPr>
              <w:t xml:space="preserve">Build a simple gift voucher or gift code. The secondary buyer (adult child buying for a parent) is arguably your most motivated customer — they've often already lived through the chaos of a family death and want to act. Make this easy and the word-of-mouth almost takes care of itself.</w:t>
            </w:r>
          </w:p>
        </w:tc>
      </w:tr>
    </w:tbl>
    <w:p>
      <w:pPr>
        <w:spacing w:after="160"/>
      </w:pPr>
      <w:r>
        <w:t xml:space="preserve"/>
      </w:r>
    </w:p>
    <w:p>
      <w:pPr>
        <w:pStyle w:val="Heading2"/>
        <w:spacing w:after="120" w:before="280"/>
      </w:pPr>
      <w:r>
        <w:rPr>
          <w:rFonts w:ascii="Arial" w:cs="Arial" w:eastAsia="Arial" w:hAnsi="Arial"/>
          <w:b/>
          <w:bCs/>
          <w:color w:val="2C3E5D"/>
          <w:sz w:val="28"/>
          <w:szCs w:val="28"/>
        </w:rPr>
        <w:t xml:space="preserve">Pricing considerations</w:t>
      </w:r>
    </w:p>
    <w:p>
      <w:pPr>
        <w:spacing w:after="140"/>
      </w:pPr>
      <w:r>
        <w:rPr>
          <w:rFonts w:ascii="Arial" w:cs="Arial" w:eastAsia="Arial" w:hAnsi="Arial"/>
          <w:b w:val="false"/>
          <w:bCs w:val="false"/>
          <w:color w:val="1A2438"/>
          <w:sz w:val="22"/>
          <w:szCs w:val="22"/>
        </w:rPr>
        <w:t xml:space="preserve">The £7.95 price is a genuine competitive advantage — keep it for direct consumers. But there is room to add:</w:t>
      </w:r>
    </w:p>
    <w:p>
      <w:pPr>
        <w:pStyle w:val="ListParagraph"/>
        <w:numPr>
          <w:ilvl w:val="0"/>
          <w:numId w:val="2"/>
        </w:numPr>
        <w:spacing w:after="80"/>
      </w:pPr>
      <w:r>
        <w:rPr>
          <w:rFonts w:ascii="Arial" w:cs="Arial" w:eastAsia="Arial" w:hAnsi="Arial"/>
          <w:color w:val="1A2438"/>
          <w:sz w:val="22"/>
          <w:szCs w:val="22"/>
        </w:rPr>
        <w:t xml:space="preserve">A family pack (2-3 journals) at £14.95 — makes gifting easier and increases revenue per transaction</w:t>
      </w:r>
    </w:p>
    <w:p>
      <w:pPr>
        <w:pStyle w:val="ListParagraph"/>
        <w:numPr>
          <w:ilvl w:val="0"/>
          <w:numId w:val="2"/>
        </w:numPr>
        <w:spacing w:after="80"/>
      </w:pPr>
      <w:r>
        <w:rPr>
          <w:rFonts w:ascii="Arial" w:cs="Arial" w:eastAsia="Arial" w:hAnsi="Arial"/>
          <w:color w:val="1A2438"/>
          <w:sz w:val="22"/>
          <w:szCs w:val="22"/>
        </w:rPr>
        <w:t xml:space="preserve">A professional bulk rate for solicitors / IFAs — e.g. 10 codes for £50 — so it is easy for a professional to simply hand one to each client</w:t>
      </w:r>
    </w:p>
    <w:p>
      <w:pPr>
        <w:pStyle w:val="ListParagraph"/>
        <w:numPr>
          <w:ilvl w:val="0"/>
          <w:numId w:val="2"/>
        </w:numPr>
        <w:spacing w:after="80"/>
      </w:pPr>
      <w:r>
        <w:rPr>
          <w:rFonts w:ascii="Arial" w:cs="Arial" w:eastAsia="Arial" w:hAnsi="Arial"/>
          <w:color w:val="1A2438"/>
          <w:sz w:val="22"/>
          <w:szCs w:val="22"/>
        </w:rPr>
        <w:t xml:space="preserve">No subscription, ever — this is a promise worth keeping. It is a major reason people trust you over competitors</w:t>
      </w:r>
    </w:p>
    <w:p>
      <w:pPr>
        <w:spacing w:after="120"/>
      </w:pPr>
      <w:r>
        <w:t xml:space="preserve"/>
      </w:r>
    </w:p>
    <w:p>
      <w:pPr>
        <w:pStyle w:val="Heading2"/>
        <w:spacing w:after="120" w:before="280"/>
      </w:pPr>
      <w:r>
        <w:rPr>
          <w:rFonts w:ascii="Arial" w:cs="Arial" w:eastAsia="Arial" w:hAnsi="Arial"/>
          <w:b/>
          <w:bCs/>
          <w:color w:val="2C3E5D"/>
          <w:sz w:val="28"/>
          <w:szCs w:val="28"/>
        </w:rPr>
        <w:t xml:space="preserve">The 6-month action list</w:t>
      </w:r>
    </w:p>
    <w:p>
      <w:pPr>
        <w:spacing w:after="140"/>
      </w:pPr>
      <w:r>
        <w:rPr>
          <w:rFonts w:ascii="Arial" w:cs="Arial" w:eastAsia="Arial" w:hAnsi="Arial"/>
          <w:b w:val="false"/>
          <w:bCs w:val="false"/>
          <w:color w:val="1A2438"/>
          <w:sz w:val="22"/>
          <w:szCs w:val="22"/>
        </w:rPr>
        <w:t xml:space="preserve">In rough priority order, these are the concrete things worth doing:</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5386"/>
        <w:gridCol w:w="3000"/>
      </w:tblGrid>
      <w:tr>
        <w:tc>
          <w:tcPr>
            <w:tcW w:type="dxa" w:w="640"/>
            <w:tcBorders>
              <w:top w:val="single" w:color="D0D8E4" w:sz="1"/>
              <w:left w:val="single" w:color="D0D8E4" w:sz="1"/>
              <w:bottom w:val="single" w:color="D0D8E4" w:sz="1"/>
              <w:right w:val="single" w:color="D0D8E4" w:sz="1"/>
            </w:tcBorders>
            <w:shd w:fill="2C3E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386"/>
            <w:tcBorders>
              <w:top w:val="single" w:color="D0D8E4" w:sz="1"/>
              <w:left w:val="single" w:color="D0D8E4" w:sz="1"/>
              <w:bottom w:val="single" w:color="D0D8E4" w:sz="1"/>
              <w:right w:val="single" w:color="D0D8E4" w:sz="1"/>
            </w:tcBorders>
            <w:shd w:fill="2C3E5D"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D0D8E4" w:sz="1"/>
              <w:left w:val="single" w:color="D0D8E4" w:sz="1"/>
              <w:bottom w:val="single" w:color="D0D8E4" w:sz="1"/>
              <w:right w:val="single" w:color="D0D8E4" w:sz="1"/>
            </w:tcBorders>
            <w:shd w:fill="2C3E5D"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64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pPr>
              <w:jc w:val="center"/>
            </w:pPr>
            <w:r>
              <w:rPr>
                <w:rFonts w:ascii="Arial" w:cs="Arial" w:eastAsia="Arial" w:hAnsi="Arial"/>
                <w:b/>
                <w:bCs/>
                <w:color w:val="D97D5C"/>
                <w:sz w:val="20"/>
                <w:szCs w:val="20"/>
              </w:rPr>
              <w:t xml:space="preserve">1</w:t>
            </w:r>
          </w:p>
        </w:tc>
        <w:tc>
          <w:tcPr>
            <w:tcW w:type="dxa" w:w="5386"/>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color w:val="1A2438"/>
                <w:sz w:val="20"/>
                <w:szCs w:val="20"/>
              </w:rPr>
              <w:t xml:space="preserve">Get the product working flawlessly (bug fixes, date entry, mobile UX)</w:t>
            </w:r>
          </w:p>
        </w:tc>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6B7589"/>
                <w:sz w:val="20"/>
                <w:szCs w:val="20"/>
              </w:rPr>
              <w:t xml:space="preserve">Trust is everything. One bad experience spreads. A seamless one earns word of mouth.</w:t>
            </w:r>
          </w:p>
        </w:tc>
      </w:tr>
      <w:tr>
        <w:tc>
          <w:tcPr>
            <w:tcW w:type="dxa" w:w="64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pPr>
              <w:jc w:val="center"/>
            </w:pPr>
            <w:r>
              <w:rPr>
                <w:rFonts w:ascii="Arial" w:cs="Arial" w:eastAsia="Arial" w:hAnsi="Arial"/>
                <w:b/>
                <w:bCs/>
                <w:color w:val="D97D5C"/>
                <w:sz w:val="20"/>
                <w:szCs w:val="20"/>
              </w:rPr>
              <w:t xml:space="preserve">2</w:t>
            </w:r>
          </w:p>
        </w:tc>
        <w:tc>
          <w:tcPr>
            <w:tcW w:type="dxa" w:w="538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2438"/>
                <w:sz w:val="20"/>
                <w:szCs w:val="20"/>
              </w:rPr>
              <w:t xml:space="preserve">Keep sample journals prominently on the homepage (done)</w:t>
            </w:r>
          </w:p>
        </w:tc>
        <w:tc>
          <w:tcPr>
            <w:tcW w:type="dxa" w:w="30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color w:val="6B7589"/>
                <w:sz w:val="20"/>
                <w:szCs w:val="20"/>
              </w:rPr>
              <w:t xml:space="preserve">The biggest objection is 'I don't know what I'm buying.' The samples remove that entirely.</w:t>
            </w:r>
          </w:p>
        </w:tc>
      </w:tr>
      <w:tr>
        <w:tc>
          <w:tcPr>
            <w:tcW w:type="dxa" w:w="64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pPr>
              <w:jc w:val="center"/>
            </w:pPr>
            <w:r>
              <w:rPr>
                <w:rFonts w:ascii="Arial" w:cs="Arial" w:eastAsia="Arial" w:hAnsi="Arial"/>
                <w:b/>
                <w:bCs/>
                <w:color w:val="D97D5C"/>
                <w:sz w:val="20"/>
                <w:szCs w:val="20"/>
              </w:rPr>
              <w:t xml:space="preserve">3</w:t>
            </w:r>
          </w:p>
        </w:tc>
        <w:tc>
          <w:tcPr>
            <w:tcW w:type="dxa" w:w="5386"/>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color w:val="1A2438"/>
                <w:sz w:val="20"/>
                <w:szCs w:val="20"/>
              </w:rPr>
              <w:t xml:space="preserve">Contact one solicitor or will-writing service and propose a simple referral arrangement</w:t>
            </w:r>
          </w:p>
        </w:tc>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6B7589"/>
                <w:sz w:val="20"/>
                <w:szCs w:val="20"/>
              </w:rPr>
              <w:t xml:space="preserve">Test the professional channel with zero cost. One yes is enough to prove the model.</w:t>
            </w:r>
          </w:p>
        </w:tc>
      </w:tr>
      <w:tr>
        <w:tc>
          <w:tcPr>
            <w:tcW w:type="dxa" w:w="64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pPr>
              <w:jc w:val="center"/>
            </w:pPr>
            <w:r>
              <w:rPr>
                <w:rFonts w:ascii="Arial" w:cs="Arial" w:eastAsia="Arial" w:hAnsi="Arial"/>
                <w:b/>
                <w:bCs/>
                <w:color w:val="D97D5C"/>
                <w:sz w:val="20"/>
                <w:szCs w:val="20"/>
              </w:rPr>
              <w:t xml:space="preserve">4</w:t>
            </w:r>
          </w:p>
        </w:tc>
        <w:tc>
          <w:tcPr>
            <w:tcW w:type="dxa" w:w="538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2438"/>
                <w:sz w:val="20"/>
                <w:szCs w:val="20"/>
              </w:rPr>
              <w:t xml:space="preserve">Build a gift code / voucher mechanic</w:t>
            </w:r>
          </w:p>
        </w:tc>
        <w:tc>
          <w:tcPr>
            <w:tcW w:type="dxa" w:w="30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color w:val="6B7589"/>
                <w:sz w:val="20"/>
                <w:szCs w:val="20"/>
              </w:rPr>
              <w:t xml:space="preserve">Unlocks the secondary buyer and makes Mother's Day, Father's Day, Christmas natural moments.</w:t>
            </w:r>
          </w:p>
        </w:tc>
      </w:tr>
      <w:tr>
        <w:tc>
          <w:tcPr>
            <w:tcW w:type="dxa" w:w="64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pPr>
              <w:jc w:val="center"/>
            </w:pPr>
            <w:r>
              <w:rPr>
                <w:rFonts w:ascii="Arial" w:cs="Arial" w:eastAsia="Arial" w:hAnsi="Arial"/>
                <w:b/>
                <w:bCs/>
                <w:color w:val="D97D5C"/>
                <w:sz w:val="20"/>
                <w:szCs w:val="20"/>
              </w:rPr>
              <w:t xml:space="preserve">5</w:t>
            </w:r>
          </w:p>
        </w:tc>
        <w:tc>
          <w:tcPr>
            <w:tcW w:type="dxa" w:w="5386"/>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color w:val="1A2438"/>
                <w:sz w:val="20"/>
                <w:szCs w:val="20"/>
              </w:rPr>
              <w:t xml:space="preserve">Write 2-3 short SEO articles on end-of-life planning topics</w:t>
            </w:r>
          </w:p>
        </w:tc>
        <w:tc>
          <w:tcPr>
            <w:tcW w:type="dxa" w:w="3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6B7589"/>
                <w:sz w:val="20"/>
                <w:szCs w:val="20"/>
              </w:rPr>
              <w:t xml:space="preserve">Earns organic traffic from people searching at exactly the right moment (e.g. 'what happens when you die UK', 'what do I need to leave my family').</w:t>
            </w:r>
          </w:p>
        </w:tc>
      </w:tr>
      <w:tr>
        <w:tc>
          <w:tcPr>
            <w:tcW w:type="dxa" w:w="64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pPr>
              <w:jc w:val="center"/>
            </w:pPr>
            <w:r>
              <w:rPr>
                <w:rFonts w:ascii="Arial" w:cs="Arial" w:eastAsia="Arial" w:hAnsi="Arial"/>
                <w:b/>
                <w:bCs/>
                <w:color w:val="D97D5C"/>
                <w:sz w:val="20"/>
                <w:szCs w:val="20"/>
              </w:rPr>
              <w:t xml:space="preserve">6</w:t>
            </w:r>
          </w:p>
        </w:tc>
        <w:tc>
          <w:tcPr>
            <w:tcW w:type="dxa" w:w="538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2438"/>
                <w:sz w:val="20"/>
                <w:szCs w:val="20"/>
              </w:rPr>
              <w:t xml:space="preserve">Add an email capture for people who aren't ready to buy yet</w:t>
            </w:r>
          </w:p>
        </w:tc>
        <w:tc>
          <w:tcPr>
            <w:tcW w:type="dxa" w:w="3000"/>
            <w:tcBorders>
              <w:top w:val="single" w:color="D0D8E4" w:sz="1"/>
              <w:left w:val="single" w:color="D0D8E4" w:sz="1"/>
              <w:bottom w:val="single" w:color="D0D8E4" w:sz="1"/>
              <w:right w:val="single" w:color="D0D8E4" w:sz="1"/>
            </w:tcBorders>
            <w:shd w:fill="EFF3F8" w:val="clear"/>
            <w:tcMar>
              <w:top w:type="dxa" w:w="80"/>
              <w:left w:type="dxa" w:w="120"/>
              <w:bottom w:type="dxa" w:w="80"/>
              <w:right w:type="dxa" w:w="120"/>
            </w:tcMar>
          </w:tcPr>
          <w:p>
            <w:r>
              <w:rPr>
                <w:rFonts w:ascii="Arial" w:cs="Arial" w:eastAsia="Arial" w:hAnsi="Arial"/>
                <w:color w:val="6B7589"/>
                <w:sz w:val="20"/>
                <w:szCs w:val="20"/>
              </w:rPr>
              <w:t xml:space="preserve">Many visitors leave without buying but are interested. A simple 'remind me' or 'send me the checklist' flow keeps them warm.</w:t>
            </w:r>
          </w:p>
        </w:tc>
      </w:tr>
    </w:tbl>
    <w:p>
      <w:pPr>
        <w:spacing w:after="160"/>
      </w:pPr>
      <w:r>
        <w:t xml:space="preserve"/>
      </w:r>
    </w:p>
    <w:p>
      <w:pPr>
        <w:pStyle w:val="Heading2"/>
        <w:spacing w:after="120" w:before="280"/>
      </w:pPr>
      <w:r>
        <w:rPr>
          <w:rFonts w:ascii="Arial" w:cs="Arial" w:eastAsia="Arial" w:hAnsi="Arial"/>
          <w:b/>
          <w:bCs/>
          <w:color w:val="2C3E5D"/>
          <w:sz w:val="28"/>
          <w:szCs w:val="28"/>
        </w:rPr>
        <w:t xml:space="preserve">One thing to remember</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single" w:color="D97D5C" w:sz="20"/>
              <w:bottom w:val="none" w:color="FFFFFF" w:sz="0"/>
              <w:right w:val="none" w:color="FFFFFF" w:sz="0"/>
            </w:tcBorders>
            <w:shd w:fill="EEF3FA" w:val="clear"/>
            <w:tcMar>
              <w:top w:type="dxa" w:w="120"/>
              <w:left w:type="dxa" w:w="120"/>
              <w:bottom w:type="dxa" w:w="120"/>
              <w:right w:type="dxa" w:w="0"/>
            </w:tcMar>
          </w:tcPr>
          <w:p>
            <w:r>
              <w:t xml:space="preserve"/>
            </w:r>
          </w:p>
        </w:tc>
        <w:tc>
          <w:tcPr>
            <w:tcW w:type="dxa" w:w="8826"/>
            <w:tcBorders>
              <w:top w:val="none" w:color="FFFFFF" w:sz="0"/>
              <w:left w:val="none" w:color="FFFFFF" w:sz="0"/>
              <w:bottom w:val="none" w:color="FFFFFF" w:sz="0"/>
              <w:right w:val="none" w:color="FFFFFF" w:sz="0"/>
            </w:tcBorders>
            <w:shd w:fill="EEF3FA" w:val="clear"/>
            <w:tcMar>
              <w:top w:type="dxa" w:w="120"/>
              <w:left w:type="dxa" w:w="160"/>
              <w:bottom w:type="dxa" w:w="120"/>
              <w:right w:type="dxa" w:w="160"/>
            </w:tcMar>
          </w:tcPr>
          <w:p>
            <w:r>
              <w:rPr>
                <w:rFonts w:ascii="Arial" w:cs="Arial" w:eastAsia="Arial" w:hAnsi="Arial"/>
                <w:color w:val="1A2438"/>
                <w:sz w:val="21"/>
                <w:szCs w:val="21"/>
              </w:rPr>
              <w:t xml:space="preserve">When I'm Gone does not need to be the biggest or the most featured product in this space. It needs to be the one that the right person finds at the right moment, understands in thirty seconds, and trusts enough to buy. That is a very achievable target.</w:t>
            </w:r>
          </w:p>
        </w:tc>
      </w:tr>
    </w:tbl>
    <w:p>
      <w:pPr>
        <w:spacing w:after="120"/>
      </w:pPr>
      <w:r>
        <w:t xml:space="preserve"/>
      </w:r>
    </w:p>
    <w:p>
      <w:pPr>
        <w:pBdr>
          <w:bottom w:val="single" w:color="D0D8E4" w:sz="4"/>
        </w:pBdr>
        <w:spacing w:after="160" w:before="160"/>
      </w:pPr>
      <w:r>
        <w:t xml:space="preserve"/>
      </w:r>
    </w:p>
    <w:p>
      <w:pPr>
        <w:spacing w:after="80"/>
      </w:pPr>
      <w:r>
        <w:t xml:space="preserve"/>
      </w:r>
    </w:p>
    <w:p>
      <w:pPr>
        <w:spacing w:after="60"/>
        <w:jc w:val="center"/>
      </w:pPr>
      <w:r>
        <w:rPr>
          <w:rFonts w:ascii="Arial" w:cs="Arial" w:eastAsia="Arial" w:hAnsi="Arial"/>
          <w:b/>
          <w:bCs/>
          <w:color w:val="2C3E5D"/>
          <w:sz w:val="20"/>
          <w:szCs w:val="20"/>
        </w:rPr>
        <w:t xml:space="preserve">When I'm Gone  ·  whenimgone.life</w:t>
      </w:r>
    </w:p>
    <w:p>
      <w:pPr>
        <w:spacing w:after="0"/>
        <w:jc w:val="center"/>
      </w:pPr>
      <w:r>
        <w:rPr>
          <w:rFonts w:ascii="Arial" w:cs="Arial" w:eastAsia="Arial" w:hAnsi="Arial"/>
          <w:color w:val="6B7589"/>
          <w:sz w:val="18"/>
          <w:szCs w:val="18"/>
        </w:rPr>
        <w:t xml:space="preserve">Working document  ·  May 2026  ·  For internal use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1"/>
      </w:pBdr>
      <w:spacing w:before="0"/>
      <w:jc w:val="center"/>
    </w:pPr>
    <w:r>
      <w:rPr>
        <w:rFonts w:ascii="Arial" w:cs="Arial" w:eastAsia="Arial" w:hAnsi="Arial"/>
        <w:color w:val="6B7589"/>
        <w:sz w:val="18"/>
        <w:szCs w:val="18"/>
      </w:rPr>
      <w:t xml:space="preserve">Page </w:t>
    </w:r>
    <w:r>
      <w:rPr>
        <w:rFonts w:ascii="Arial" w:cs="Arial" w:eastAsia="Arial" w:hAnsi="Arial"/>
        <w:color w:val="6B758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1"/>
      </w:pBdr>
      <w:spacing w:after="0"/>
      <w:jc w:val="right"/>
    </w:pPr>
    <w:r>
      <w:rPr>
        <w:rFonts w:ascii="Arial" w:cs="Arial" w:eastAsia="Arial" w:hAnsi="Arial"/>
        <w:color w:val="6B7589"/>
        <w:sz w:val="18"/>
        <w:szCs w:val="18"/>
      </w:rPr>
      <w:t xml:space="preserve">When I'm Gone  ·  Business thinking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4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3E5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3E5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24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2026-05-19T09:24:23.595Z</dcterms:created>
  <dcterms:modified xsi:type="dcterms:W3CDTF">2026-05-19T09:24:23.595Z</dcterms:modified>
</cp:coreProperties>
</file>

<file path=docProps/custom.xml><?xml version="1.0" encoding="utf-8"?>
<Properties xmlns="http://schemas.openxmlformats.org/officeDocument/2006/custom-properties" xmlns:vt="http://schemas.openxmlformats.org/officeDocument/2006/docPropsVTypes"/>
</file>