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0F0A06"/>
          <w:sz w:val="56"/>
        </w:rPr>
        <w:t>Portfolio Design Review</w:t>
      </w:r>
    </w:p>
    <w:p>
      <w:r>
        <w:rPr>
          <w:color w:val="5A4E46"/>
          <w:sz w:val="22"/>
        </w:rPr>
        <w:t>rita-coelho.com · Reviewed March 2026</w:t>
      </w:r>
    </w:p>
    <w:p>
      <w:pPr>
        <w:spacing w:before="160"/>
      </w:pPr>
      <w:r>
        <w:rPr>
          <w:color w:val="5A4E46"/>
          <w:sz w:val="22"/>
        </w:rPr>
        <w:t>A full-stack design audit covering colour contrast (WCAG 2.1 AA), interactive state visibility, UI consistency, token hygiene, and general web best practices across all six pages and the shared stylesheet.</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8B1A1A"/>
          </w:tcPr>
          <w:p>
            <w:pPr>
              <w:jc w:val="center"/>
            </w:pPr>
            <w:r>
              <w:rPr>
                <w:b/>
                <w:color w:val="FFFFFF"/>
                <w:sz w:val="22"/>
              </w:rPr>
              <w:t>Critical  (fix now)</w:t>
            </w:r>
          </w:p>
        </w:tc>
        <w:tc>
          <w:tcPr>
            <w:tcW w:type="dxa" w:w="3120"/>
            <w:shd w:val="clear" w:color="auto" w:fill="7A5200"/>
          </w:tcPr>
          <w:p>
            <w:pPr>
              <w:jc w:val="center"/>
            </w:pPr>
            <w:r>
              <w:rPr>
                <w:b/>
                <w:color w:val="FFFFFF"/>
                <w:sz w:val="22"/>
              </w:rPr>
              <w:t>Important  (fix soon)</w:t>
            </w:r>
          </w:p>
        </w:tc>
        <w:tc>
          <w:tcPr>
            <w:tcW w:type="dxa" w:w="3120"/>
            <w:shd w:val="clear" w:color="auto" w:fill="1A3A6E"/>
          </w:tcPr>
          <w:p>
            <w:pPr>
              <w:jc w:val="center"/>
            </w:pPr>
            <w:r>
              <w:rPr>
                <w:b/>
                <w:color w:val="FFFFFF"/>
                <w:sz w:val="22"/>
              </w:rPr>
              <w:t>Advisory  (best practice)</w:t>
            </w:r>
          </w:p>
        </w:tc>
      </w:tr>
      <w:tr>
        <w:tc>
          <w:tcPr>
            <w:tcW w:type="dxa" w:w="3120"/>
          </w:tcPr>
          <w:p>
            <w:pPr>
              <w:jc w:val="center"/>
            </w:pPr>
            <w:r>
              <w:rPr>
                <w:b/>
                <w:color w:val="0F0A06"/>
                <w:sz w:val="40"/>
              </w:rPr>
              <w:t>2 issues</w:t>
            </w:r>
          </w:p>
        </w:tc>
        <w:tc>
          <w:tcPr>
            <w:tcW w:type="dxa" w:w="3120"/>
          </w:tcPr>
          <w:p>
            <w:pPr>
              <w:jc w:val="center"/>
            </w:pPr>
            <w:r>
              <w:rPr>
                <w:b/>
                <w:color w:val="0F0A06"/>
                <w:sz w:val="40"/>
              </w:rPr>
              <w:t>4 issues</w:t>
            </w:r>
          </w:p>
        </w:tc>
        <w:tc>
          <w:tcPr>
            <w:tcW w:type="dxa" w:w="3120"/>
          </w:tcPr>
          <w:p>
            <w:pPr>
              <w:jc w:val="center"/>
            </w:pPr>
            <w:r>
              <w:rPr>
                <w:b/>
                <w:color w:val="0F0A06"/>
                <w:sz w:val="40"/>
              </w:rPr>
              <w:t>6 issues</w:t>
            </w:r>
          </w:p>
        </w:tc>
      </w:tr>
    </w:tbl>
    <w:p>
      <w:r>
        <w:br w:type="page"/>
      </w:r>
    </w:p>
    <w:p>
      <w:pPr>
        <w:spacing w:before="400" w:after="120"/>
        <w:pBdr>
          <w:bottom w:val="single" w:sz="4" w:space="4" w:color="251605"/>
        </w:pBdr>
      </w:pPr>
      <w:r>
        <w:rPr>
          <w:b/>
          <w:color w:val="0F0A06"/>
          <w:sz w:val="44"/>
        </w:rPr>
        <w:t>1. Colour Contrast</w:t>
      </w:r>
    </w:p>
    <w:p>
      <w:pPr>
        <w:spacing w:after="200" w:before="0"/>
      </w:pPr>
      <w:r>
        <w:rPr>
          <w:color w:val="5A4E46"/>
          <w:sz w:val="22"/>
        </w:rPr>
        <w:t>WCAG 2.1 Level AA requires a contrast ratio of at least 4.5:1 for normal text and 3:1 for large text (18 pt / 14 pt bold or larger). Two colour pairings in the portfolio fail these thresholds; a third comes very close.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51605"/>
          </w:tcPr>
          <w:p>
            <w:r>
              <w:rPr>
                <w:b/>
                <w:color w:val="FFFFFF"/>
                <w:sz w:val="18"/>
              </w:rPr>
              <w:t>Element</w:t>
            </w:r>
          </w:p>
        </w:tc>
        <w:tc>
          <w:tcPr>
            <w:tcW w:type="dxa" w:w="1560"/>
            <w:shd w:val="clear" w:color="auto" w:fill="251605"/>
          </w:tcPr>
          <w:p>
            <w:r>
              <w:rPr>
                <w:b/>
                <w:color w:val="FFFFFF"/>
                <w:sz w:val="18"/>
              </w:rPr>
              <w:t>Foreground</w:t>
            </w:r>
          </w:p>
        </w:tc>
        <w:tc>
          <w:tcPr>
            <w:tcW w:type="dxa" w:w="1560"/>
            <w:shd w:val="clear" w:color="auto" w:fill="251605"/>
          </w:tcPr>
          <w:p>
            <w:r>
              <w:rPr>
                <w:b/>
                <w:color w:val="FFFFFF"/>
                <w:sz w:val="18"/>
              </w:rPr>
              <w:t>Background</w:t>
            </w:r>
          </w:p>
        </w:tc>
        <w:tc>
          <w:tcPr>
            <w:tcW w:type="dxa" w:w="1560"/>
            <w:shd w:val="clear" w:color="auto" w:fill="251605"/>
          </w:tcPr>
          <w:p>
            <w:r>
              <w:rPr>
                <w:b/>
                <w:color w:val="FFFFFF"/>
                <w:sz w:val="18"/>
              </w:rPr>
              <w:t>Ratio</w:t>
            </w:r>
          </w:p>
        </w:tc>
        <w:tc>
          <w:tcPr>
            <w:tcW w:type="dxa" w:w="1560"/>
            <w:shd w:val="clear" w:color="auto" w:fill="251605"/>
          </w:tcPr>
          <w:p>
            <w:r>
              <w:rPr>
                <w:b/>
                <w:color w:val="FFFFFF"/>
                <w:sz w:val="18"/>
              </w:rPr>
              <w:t>Result</w:t>
            </w:r>
          </w:p>
        </w:tc>
        <w:tc>
          <w:tcPr>
            <w:tcW w:type="dxa" w:w="1560"/>
            <w:shd w:val="clear" w:color="auto" w:fill="251605"/>
          </w:tcPr>
          <w:p>
            <w:r>
              <w:rPr>
                <w:b/>
                <w:color w:val="FFFFFF"/>
                <w:sz w:val="18"/>
              </w:rPr>
              <w:t>Notes</w:t>
            </w:r>
          </w:p>
        </w:tc>
      </w:tr>
      <w:tr>
        <w:tc>
          <w:tcPr>
            <w:tcW w:type="dxa" w:w="2304"/>
          </w:tcPr>
          <w:p>
            <w:r>
              <w:rPr>
                <w:sz w:val="18"/>
              </w:rPr>
              <w:t>Footer text</w:t>
              <w:br/>
              <w:t>.footer__copy / .footer__easter</w:t>
            </w:r>
          </w:p>
        </w:tc>
        <w:tc>
          <w:tcPr>
            <w:tcW w:type="dxa" w:w="1224"/>
          </w:tcPr>
          <w:p>
            <w:r>
              <w:rPr>
                <w:sz w:val="18"/>
              </w:rPr>
              <w:t>#383E3E</w:t>
            </w:r>
          </w:p>
        </w:tc>
        <w:tc>
          <w:tcPr>
            <w:tcW w:type="dxa" w:w="1224"/>
          </w:tcPr>
          <w:p>
            <w:r>
              <w:rPr>
                <w:sz w:val="18"/>
              </w:rPr>
              <w:t>#1A0B04 (--bg-dark)</w:t>
            </w:r>
          </w:p>
        </w:tc>
        <w:tc>
          <w:tcPr>
            <w:tcW w:type="dxa" w:w="1008"/>
          </w:tcPr>
          <w:p>
            <w:r>
              <w:rPr>
                <w:sz w:val="18"/>
              </w:rPr>
              <w:t>1.9 : 1</w:t>
            </w:r>
          </w:p>
        </w:tc>
        <w:tc>
          <w:tcPr>
            <w:tcW w:type="dxa" w:w="936"/>
          </w:tcPr>
          <w:p>
            <w:r>
              <w:rPr>
                <w:b/>
                <w:color w:val="8B1A1A"/>
                <w:sz w:val="18"/>
              </w:rPr>
              <w:t>Fail ❌</w:t>
            </w:r>
          </w:p>
        </w:tc>
        <w:tc>
          <w:tcPr>
            <w:tcW w:type="dxa" w:w="2232"/>
          </w:tcPr>
          <w:p>
            <w:r>
              <w:rPr>
                <w:sz w:val="18"/>
              </w:rPr>
              <w:t>Far below 4.5:1 minimum. Text is nearly invisible on the dark footer.</w:t>
            </w:r>
          </w:p>
        </w:tc>
      </w:tr>
      <w:tr>
        <w:tc>
          <w:tcPr>
            <w:tcW w:type="dxa" w:w="2304"/>
          </w:tcPr>
          <w:p>
            <w:r>
              <w:rPr>
                <w:sz w:val="18"/>
              </w:rPr>
              <w:t>Secondary / date labels</w:t>
              <w:br/>
              <w:t>--light (#9A8E88)</w:t>
            </w:r>
          </w:p>
        </w:tc>
        <w:tc>
          <w:tcPr>
            <w:tcW w:type="dxa" w:w="1224"/>
          </w:tcPr>
          <w:p>
            <w:r>
              <w:rPr>
                <w:sz w:val="18"/>
              </w:rPr>
              <w:t>#9A8E88</w:t>
            </w:r>
          </w:p>
        </w:tc>
        <w:tc>
          <w:tcPr>
            <w:tcW w:type="dxa" w:w="1224"/>
          </w:tcPr>
          <w:p>
            <w:r>
              <w:rPr>
                <w:sz w:val="18"/>
              </w:rPr>
              <w:t>#EBF1F7 (--bg)</w:t>
            </w:r>
          </w:p>
        </w:tc>
        <w:tc>
          <w:tcPr>
            <w:tcW w:type="dxa" w:w="1008"/>
          </w:tcPr>
          <w:p>
            <w:r>
              <w:rPr>
                <w:sz w:val="18"/>
              </w:rPr>
              <w:t>2.6 : 1</w:t>
            </w:r>
          </w:p>
        </w:tc>
        <w:tc>
          <w:tcPr>
            <w:tcW w:type="dxa" w:w="936"/>
          </w:tcPr>
          <w:p>
            <w:r>
              <w:rPr>
                <w:b/>
                <w:color w:val="8B1A1A"/>
                <w:sz w:val="18"/>
              </w:rPr>
              <w:t>Fail ❌</w:t>
            </w:r>
          </w:p>
        </w:tc>
        <w:tc>
          <w:tcPr>
            <w:tcW w:type="dxa" w:w="2232"/>
          </w:tcPr>
          <w:p>
            <w:r>
              <w:rPr>
                <w:sz w:val="18"/>
              </w:rPr>
              <w:t>Used for card years, "Sort" label, meta dates, location tag, work-page hint.</w:t>
            </w:r>
          </w:p>
        </w:tc>
      </w:tr>
      <w:tr>
        <w:tc>
          <w:tcPr>
            <w:tcW w:type="dxa" w:w="2304"/>
          </w:tcPr>
          <w:p>
            <w:r>
              <w:rPr>
                <w:sz w:val="18"/>
              </w:rPr>
              <w:t>.contact__desc</w:t>
              <w:br/>
              <w:t>(CSS defined, currently unused)</w:t>
            </w:r>
          </w:p>
        </w:tc>
        <w:tc>
          <w:tcPr>
            <w:tcW w:type="dxa" w:w="1224"/>
          </w:tcPr>
          <w:p>
            <w:r>
              <w:rPr>
                <w:sz w:val="18"/>
              </w:rPr>
              <w:t>#6A7878</w:t>
            </w:r>
          </w:p>
        </w:tc>
        <w:tc>
          <w:tcPr>
            <w:tcW w:type="dxa" w:w="1224"/>
          </w:tcPr>
          <w:p>
            <w:r>
              <w:rPr>
                <w:sz w:val="18"/>
              </w:rPr>
              <w:t>#1A0B04 (--bg-dark)</w:t>
            </w:r>
          </w:p>
        </w:tc>
        <w:tc>
          <w:tcPr>
            <w:tcW w:type="dxa" w:w="1008"/>
          </w:tcPr>
          <w:p>
            <w:r>
              <w:rPr>
                <w:sz w:val="18"/>
              </w:rPr>
              <w:t>4.4 : 1</w:t>
            </w:r>
          </w:p>
        </w:tc>
        <w:tc>
          <w:tcPr>
            <w:tcW w:type="dxa" w:w="936"/>
          </w:tcPr>
          <w:p>
            <w:r>
              <w:rPr>
                <w:b/>
                <w:color w:val="8B1A1A"/>
                <w:sz w:val="18"/>
              </w:rPr>
              <w:t>Fail ❌</w:t>
            </w:r>
          </w:p>
        </w:tc>
        <w:tc>
          <w:tcPr>
            <w:tcW w:type="dxa" w:w="2232"/>
          </w:tcPr>
          <w:p>
            <w:r>
              <w:rPr>
                <w:sz w:val="18"/>
              </w:rPr>
              <w:t>Marginally below 4.5:1. At risk if this class is re-enabled.</w:t>
            </w:r>
          </w:p>
        </w:tc>
      </w:tr>
      <w:tr>
        <w:tc>
          <w:tcPr>
            <w:tcW w:type="dxa" w:w="2304"/>
          </w:tcPr>
          <w:p>
            <w:r>
              <w:rPr>
                <w:sz w:val="18"/>
              </w:rPr>
              <w:t>Body text --muted</w:t>
            </w:r>
          </w:p>
        </w:tc>
        <w:tc>
          <w:tcPr>
            <w:tcW w:type="dxa" w:w="1224"/>
          </w:tcPr>
          <w:p>
            <w:r>
              <w:rPr>
                <w:sz w:val="18"/>
              </w:rPr>
              <w:t>#5A4E46</w:t>
            </w:r>
          </w:p>
        </w:tc>
        <w:tc>
          <w:tcPr>
            <w:tcW w:type="dxa" w:w="1224"/>
          </w:tcPr>
          <w:p>
            <w:r>
              <w:rPr>
                <w:sz w:val="18"/>
              </w:rPr>
              <w:t>#EBF1F7</w:t>
            </w:r>
          </w:p>
        </w:tc>
        <w:tc>
          <w:tcPr>
            <w:tcW w:type="dxa" w:w="1008"/>
          </w:tcPr>
          <w:p>
            <w:r>
              <w:rPr>
                <w:sz w:val="18"/>
              </w:rPr>
              <w:t>6.7 : 1</w:t>
            </w:r>
          </w:p>
        </w:tc>
        <w:tc>
          <w:tcPr>
            <w:tcW w:type="dxa" w:w="936"/>
          </w:tcPr>
          <w:p>
            <w:r>
              <w:rPr>
                <w:b/>
                <w:color w:val="1A6E3A"/>
                <w:sz w:val="18"/>
              </w:rPr>
              <w:t>Pass ✓</w:t>
            </w:r>
          </w:p>
        </w:tc>
        <w:tc>
          <w:tcPr>
            <w:tcW w:type="dxa" w:w="2232"/>
          </w:tcPr>
          <w:p>
            <w:r>
              <w:rPr>
                <w:sz w:val="18"/>
              </w:rPr>
              <w:t>Good.</w:t>
            </w:r>
          </w:p>
        </w:tc>
      </w:tr>
      <w:tr>
        <w:tc>
          <w:tcPr>
            <w:tcW w:type="dxa" w:w="2304"/>
          </w:tcPr>
          <w:p>
            <w:r>
              <w:rPr>
                <w:sz w:val="18"/>
              </w:rPr>
              <w:t>--brown on --bg</w:t>
            </w:r>
          </w:p>
        </w:tc>
        <w:tc>
          <w:tcPr>
            <w:tcW w:type="dxa" w:w="1224"/>
          </w:tcPr>
          <w:p>
            <w:r>
              <w:rPr>
                <w:sz w:val="18"/>
              </w:rPr>
              <w:t>#251605</w:t>
            </w:r>
          </w:p>
        </w:tc>
        <w:tc>
          <w:tcPr>
            <w:tcW w:type="dxa" w:w="1224"/>
          </w:tcPr>
          <w:p>
            <w:r>
              <w:rPr>
                <w:sz w:val="18"/>
              </w:rPr>
              <w:t>#EBF1F7</w:t>
            </w:r>
          </w:p>
        </w:tc>
        <w:tc>
          <w:tcPr>
            <w:tcW w:type="dxa" w:w="1008"/>
          </w:tcPr>
          <w:p>
            <w:r>
              <w:rPr>
                <w:sz w:val="18"/>
              </w:rPr>
              <w:t>16.4 : 1</w:t>
            </w:r>
          </w:p>
        </w:tc>
        <w:tc>
          <w:tcPr>
            <w:tcW w:type="dxa" w:w="936"/>
          </w:tcPr>
          <w:p>
            <w:r>
              <w:rPr>
                <w:b/>
                <w:color w:val="1A6E3A"/>
                <w:sz w:val="18"/>
              </w:rPr>
              <w:t>Pass ✓</w:t>
            </w:r>
          </w:p>
        </w:tc>
        <w:tc>
          <w:tcPr>
            <w:tcW w:type="dxa" w:w="2232"/>
          </w:tcPr>
          <w:p>
            <w:r>
              <w:rPr>
                <w:sz w:val="18"/>
              </w:rPr>
              <w:t>Excellent.</w:t>
            </w:r>
          </w:p>
        </w:tc>
      </w:tr>
      <w:tr>
        <w:tc>
          <w:tcPr>
            <w:tcW w:type="dxa" w:w="2304"/>
          </w:tcPr>
          <w:p>
            <w:r>
              <w:rPr>
                <w:sz w:val="18"/>
              </w:rPr>
              <w:t>White on --brown</w:t>
            </w:r>
          </w:p>
        </w:tc>
        <w:tc>
          <w:tcPr>
            <w:tcW w:type="dxa" w:w="1224"/>
          </w:tcPr>
          <w:p>
            <w:r>
              <w:rPr>
                <w:sz w:val="18"/>
              </w:rPr>
              <w:t>#FFFFFF</w:t>
            </w:r>
          </w:p>
        </w:tc>
        <w:tc>
          <w:tcPr>
            <w:tcW w:type="dxa" w:w="1224"/>
          </w:tcPr>
          <w:p>
            <w:r>
              <w:rPr>
                <w:sz w:val="18"/>
              </w:rPr>
              <w:t>#251605</w:t>
            </w:r>
          </w:p>
        </w:tc>
        <w:tc>
          <w:tcPr>
            <w:tcW w:type="dxa" w:w="1008"/>
          </w:tcPr>
          <w:p>
            <w:r>
              <w:rPr>
                <w:sz w:val="18"/>
              </w:rPr>
              <w:t>16.4 : 1</w:t>
            </w:r>
          </w:p>
        </w:tc>
        <w:tc>
          <w:tcPr>
            <w:tcW w:type="dxa" w:w="936"/>
          </w:tcPr>
          <w:p>
            <w:r>
              <w:rPr>
                <w:b/>
                <w:color w:val="1A6E3A"/>
                <w:sz w:val="18"/>
              </w:rPr>
              <w:t>Pass ✓</w:t>
            </w:r>
          </w:p>
        </w:tc>
        <w:tc>
          <w:tcPr>
            <w:tcW w:type="dxa" w:w="2232"/>
          </w:tcPr>
          <w:p>
            <w:r>
              <w:rPr>
                <w:sz w:val="18"/>
              </w:rPr>
              <w:t>Strong.</w:t>
            </w:r>
          </w:p>
        </w:tc>
      </w:tr>
      <w:tr>
        <w:tc>
          <w:tcPr>
            <w:tcW w:type="dxa" w:w="2304"/>
          </w:tcPr>
          <w:p>
            <w:r>
              <w:rPr>
                <w:sz w:val="18"/>
              </w:rPr>
              <w:t>--brown on --mist-blue</w:t>
            </w:r>
          </w:p>
        </w:tc>
        <w:tc>
          <w:tcPr>
            <w:tcW w:type="dxa" w:w="1224"/>
          </w:tcPr>
          <w:p>
            <w:r>
              <w:rPr>
                <w:sz w:val="18"/>
              </w:rPr>
              <w:t>#251605</w:t>
            </w:r>
          </w:p>
        </w:tc>
        <w:tc>
          <w:tcPr>
            <w:tcW w:type="dxa" w:w="1224"/>
          </w:tcPr>
          <w:p>
            <w:r>
              <w:rPr>
                <w:sz w:val="18"/>
              </w:rPr>
              <w:t>#C7D6E5</w:t>
            </w:r>
          </w:p>
        </w:tc>
        <w:tc>
          <w:tcPr>
            <w:tcW w:type="dxa" w:w="1008"/>
          </w:tcPr>
          <w:p>
            <w:r>
              <w:rPr>
                <w:sz w:val="18"/>
              </w:rPr>
              <w:t>12.1 : 1</w:t>
            </w:r>
          </w:p>
        </w:tc>
        <w:tc>
          <w:tcPr>
            <w:tcW w:type="dxa" w:w="936"/>
          </w:tcPr>
          <w:p>
            <w:r>
              <w:rPr>
                <w:b/>
                <w:color w:val="1A6E3A"/>
                <w:sz w:val="18"/>
              </w:rPr>
              <w:t>Pass ✓</w:t>
            </w:r>
          </w:p>
        </w:tc>
        <w:tc>
          <w:tcPr>
            <w:tcW w:type="dxa" w:w="2232"/>
          </w:tcPr>
          <w:p>
            <w:r>
              <w:rPr>
                <w:sz w:val="18"/>
              </w:rPr>
              <w:t>Good.</w:t>
            </w:r>
          </w:p>
        </w:tc>
      </w:tr>
    </w:tbl>
    <w:p/>
    <w:p>
      <w:pPr>
        <w:spacing w:before="280" w:after="80"/>
      </w:pPr>
      <w:r>
        <w:rPr>
          <w:b/>
          <w:color w:val="8B1A1A"/>
          <w:sz w:val="30"/>
        </w:rPr>
        <w:t>1.1  Footer text — Critical</w:t>
      </w:r>
    </w:p>
    <w:p>
      <w:pPr>
        <w:spacing w:after="120" w:before="0"/>
      </w:pPr>
      <w:r>
        <w:rPr>
          <w:color w:val="5A4E46"/>
          <w:sz w:val="22"/>
        </w:rPr>
        <w:t>The footer uses color: #383E3E on background: #1A0B04 (--bg-dark). This 1.9:1 ratio is well below the 4.5:1 minimum and makes the copyright and easter-egg text essentially unreadable — especially in low-light environments.</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Change .footer__copy and .footer__easter to color: #8C8584 at minimum (4.5:1 on #1A0B04), or preferably #A89F9B (≈ 6:1). Even better: use --mauve (#8D7471) and verify with a contrast checker.</w:t>
      </w:r>
    </w:p>
    <w:p>
      <w:pPr>
        <w:spacing w:before="280" w:after="80"/>
      </w:pPr>
      <w:r>
        <w:rPr>
          <w:b/>
          <w:color w:val="8B1A1A"/>
          <w:sz w:val="30"/>
        </w:rPr>
        <w:t>1.2  --light colour used as informational text — Critical</w:t>
      </w:r>
    </w:p>
    <w:p>
      <w:pPr>
        <w:spacing w:after="120" w:before="0"/>
      </w:pPr>
      <w:r>
        <w:rPr>
          <w:color w:val="5A4E46"/>
          <w:sz w:val="22"/>
        </w:rPr>
        <w:t>The --light token (#9A8E88) is applied to text that carries real information: card years, the "Sort" sort label, the "📍 Zurich" location chip, timeline dates, project-nav labels, and the work-page hint. At 2.6:1 against --bg, none of these pass AA. The colour itself is fine as a purely decorative tint — it just cannot carry readable text on its own.</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Use --muted (#5A4E46, 6.7:1) wherever --light is currently used for visible text. Reserve --light for decorative borders, rules, and non-text elements only. Create a --meta token aliased to --muted to signal the intended semantic clearly.</w:t>
      </w:r>
    </w:p>
    <w:p>
      <w:r>
        <w:br w:type="page"/>
      </w:r>
    </w:p>
    <w:p>
      <w:pPr>
        <w:spacing w:before="400" w:after="120"/>
        <w:pBdr>
          <w:bottom w:val="single" w:sz="4" w:space="4" w:color="251605"/>
        </w:pBdr>
      </w:pPr>
      <w:r>
        <w:rPr>
          <w:b/>
          <w:color w:val="0F0A06"/>
          <w:sz w:val="44"/>
        </w:rPr>
        <w:t>2. State Visibility</w:t>
      </w:r>
    </w:p>
    <w:p>
      <w:pPr>
        <w:spacing w:after="200" w:before="0"/>
      </w:pPr>
      <w:r>
        <w:rPr>
          <w:color w:val="5A4E46"/>
          <w:sz w:val="22"/>
        </w:rPr>
        <w:t>Every interactive element should communicate four states visibly: default, hover, focus, and active/pressed. The portfolio handles hover states well but has significant gaps in focus and keyboard-accessible states.</w:t>
      </w:r>
    </w:p>
    <w:p>
      <w:pPr>
        <w:spacing w:before="280" w:after="80"/>
      </w:pPr>
      <w:r>
        <w:rPr>
          <w:b/>
          <w:color w:val="7A5200"/>
          <w:sz w:val="30"/>
        </w:rPr>
        <w:t>2.1  No :focus-visible ring — Important</w:t>
      </w:r>
    </w:p>
    <w:p>
      <w:pPr>
        <w:spacing w:after="120" w:before="0"/>
      </w:pPr>
      <w:r>
        <w:rPr>
          <w:color w:val="5A4E46"/>
          <w:sz w:val="22"/>
        </w:rPr>
        <w:t>There are no :focus-visible styles defined for nav links, CTA buttons (.btn), filter chips (.work-filter-btn, .journey-filter), project card links, back links, or the context-menu options. The only exception is .work-sort__select:focus which slightly darkens the border — too subtle to be clearly distinguishable.</w:t>
      </w:r>
    </w:p>
    <w:p>
      <w:pPr>
        <w:spacing w:after="80" w:before="0"/>
      </w:pPr>
      <w:r>
        <w:rPr>
          <w:color w:val="5A4E46"/>
          <w:sz w:val="22"/>
        </w:rPr>
        <w:t>Keyboard users (and users of switch access, voice control, and similar tools) have no visual indication of which element is currently focused. This violates WCAG 2.1 Success Criterion 2.4.7 (Focus Visible, Level AA).</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Add a global :focus-visible rule, for example: :focus-visible { outline: 2px solid var(--burgundy); outline-offset: 3px; border-radius: 4px; } Then suppress the outline on elements where a custom focus style is applied. Also remove outline: none from .work-sort__select and replace with a visible ring.</w:t>
      </w:r>
    </w:p>
    <w:p>
      <w:pPr>
        <w:spacing w:before="280" w:after="80"/>
      </w:pPr>
      <w:r>
        <w:rPr>
          <w:b/>
          <w:color w:val="7A5200"/>
          <w:sz w:val="30"/>
        </w:rPr>
        <w:t>2.2  Context menu trigger is hover-only — Important</w:t>
      </w:r>
    </w:p>
    <w:p>
      <w:pPr>
        <w:spacing w:after="120" w:before="0"/>
      </w:pPr>
      <w:r>
        <w:rPr>
          <w:color w:val="5A4E46"/>
          <w:sz w:val="22"/>
        </w:rPr>
        <w:t>The diamond (◆) context-menu button on each project card has opacity: 0 and transform: scale(0.7) in its default state. It only becomes visible and reachable when the parent card is hovered (.project-card:hover .ctx-trigger). A keyboard user who tabs to the button will never see it, and a touch-screen user has no way to trigger the radial menu at all. The hint text ("Hover a card, click ◆") confirms this is intentionally hover-gated.</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Make the .ctx-trigger always visible (opacity: 1, scale(1)) and only animate it on hover/focus for the spring effect. The button should be reachable and visible on :focus-visible so keyboard users know it exists. Alternatively, add a keyboard shortcut hint and ensure the entire card is keyboard-navigable so that pressing Enter/Space on the card opens the menu.</w:t>
      </w:r>
    </w:p>
    <w:p>
      <w:pPr>
        <w:spacing w:before="280" w:after="80"/>
      </w:pPr>
      <w:r>
        <w:rPr>
          <w:b/>
          <w:color w:val="1A3A6E"/>
          <w:sz w:val="30"/>
        </w:rPr>
        <w:t>2.3  Skill tags have hover styles but are not interactive — Advisory</w:t>
      </w:r>
    </w:p>
    <w:p>
      <w:pPr>
        <w:spacing w:after="120" w:before="0"/>
      </w:pPr>
      <w:r>
        <w:rPr>
          <w:color w:val="5A4E46"/>
          <w:sz w:val="22"/>
        </w:rPr>
        <w:t>In about.html, the &lt;span class="skill-tag"&gt; elements have a hover state that inverts their colours to a dark fill (background: var(--teal); color: var(--white)). Hover effects on non-interactive elements are misleading: they signal interactivity to sighted users but do nothing on click, and screen readers treat them as plain text.</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Either remove the hover state from .skill-tag entirely (clean and minimal), or make each tag genuinely interactive — for example, filtering the work grid to that skill, or linking to relevant projects. Do not apply hover colour changes to elements that have no action.</w:t>
      </w:r>
    </w:p>
    <w:p>
      <w:pPr>
        <w:spacing w:before="280" w:after="80"/>
      </w:pPr>
      <w:r>
        <w:rPr>
          <w:b/>
          <w:color w:val="1A3A6E"/>
          <w:sz w:val="30"/>
        </w:rPr>
        <w:t>2.4  Mobile menu has no active-page indicator — Advisory</w:t>
      </w:r>
    </w:p>
    <w:p>
      <w:pPr>
        <w:spacing w:after="120" w:before="0"/>
      </w:pPr>
      <w:r>
        <w:rPr>
          <w:color w:val="5A4E46"/>
          <w:sz w:val="22"/>
        </w:rPr>
        <w:t>The desktop nav correctly marks the current page with an .active class (underline + colour change). The mobile overlay menu (.mobile-menu) renders the same four links but has no styling difference between the current page and others. A user opening the mobile menu cannot tell where they are.</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Either pass the active state to the mobile links (e.g., add .active to the matching .mobile-menu__link in each page's HTML), or use JavaScript to mirror the active class dynamically — the same filename-matching logic already in main.js could apply to both .nav__link and .mobile-menu__link.</w:t>
      </w:r>
    </w:p>
    <w:p>
      <w:r>
        <w:br w:type="page"/>
      </w:r>
    </w:p>
    <w:p>
      <w:pPr>
        <w:spacing w:before="400" w:after="120"/>
        <w:pBdr>
          <w:bottom w:val="single" w:sz="4" w:space="4" w:color="251605"/>
        </w:pBdr>
      </w:pPr>
      <w:r>
        <w:rPr>
          <w:b/>
          <w:color w:val="0F0A06"/>
          <w:sz w:val="44"/>
        </w:rPr>
        <w:t>3. UI Consistency</w:t>
      </w:r>
    </w:p>
    <w:p>
      <w:pPr>
        <w:spacing w:before="280" w:after="80"/>
      </w:pPr>
      <w:r>
        <w:rPr>
          <w:b/>
          <w:color w:val="8B1A1A"/>
          <w:sz w:val="30"/>
        </w:rPr>
        <w:t>3.1  Dual token naming — Critical</w:t>
      </w:r>
    </w:p>
    <w:p>
      <w:pPr>
        <w:spacing w:after="120" w:before="0"/>
      </w:pPr>
      <w:r>
        <w:rPr>
          <w:color w:val="5A4E46"/>
          <w:sz w:val="22"/>
        </w:rPr>
        <w:t>The CSS custom properties file maintains two parallel naming systems for the same colours. The current palette names are --brown (#251605), --burgundy (#5C0A13), and --mauve (#8D7471). But legacy aliases --teal (#251605), --teal-dark, --teal-mid, --teal-faint, --maroon, --maroon-dark, --maroon-faint, and --grey all remain, and are still used throughout the stylesheet. This creates significant confusion:</w:t>
      </w:r>
    </w:p>
    <w:p>
      <w:pPr>
        <w:pStyle w:val="ListBullet"/>
        <w:spacing w:after="60"/>
      </w:pPr>
      <w:r>
        <w:rPr>
          <w:color w:val="5A4E46"/>
          <w:sz w:val="22"/>
        </w:rPr>
        <w:t>--teal and --brown are identical values. Reading the code it is impossible to know which to use.</w:t>
      </w:r>
    </w:p>
    <w:p>
      <w:pPr>
        <w:pStyle w:val="ListBullet"/>
        <w:spacing w:after="60"/>
      </w:pPr>
      <w:r>
        <w:rPr>
          <w:color w:val="5A4E46"/>
          <w:sz w:val="22"/>
        </w:rPr>
        <w:t>The comment at the top of the file says "Palette: Cream · Brown · Burgundy" but the body says var(--teal).</w:t>
      </w:r>
    </w:p>
    <w:p>
      <w:pPr>
        <w:pStyle w:val="ListBullet"/>
        <w:spacing w:after="60"/>
      </w:pPr>
      <w:r>
        <w:rPr>
          <w:color w:val="5A4E46"/>
          <w:sz w:val="22"/>
        </w:rPr>
        <w:t>Future edits risk referencing either alias and the palette diverges silently.</w:t>
      </w:r>
    </w:p>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Do a global find-and-replace: --teal → --brown, --teal-dark → --brown-dark, --teal-mid → --brown-mid, --teal-faint → --brown-faint, --maroon → --burgundy, --maroon-dark → --burgundy-dark, --maroon-faint → --burgundy-faint, --grey → --mauve. Then remove all legacy aliases from :root. This is a one-time cleanup.</w:t>
      </w:r>
    </w:p>
    <w:p>
      <w:pPr>
        <w:spacing w:before="280" w:after="80"/>
      </w:pPr>
      <w:r>
        <w:rPr>
          <w:b/>
          <w:color w:val="7A5200"/>
          <w:sz w:val="30"/>
        </w:rPr>
        <w:t>3.2  Three different "back" link implementations — Important</w:t>
      </w:r>
    </w:p>
    <w:p>
      <w:pPr>
        <w:spacing w:after="120" w:before="0"/>
      </w:pPr>
      <w:r>
        <w:rPr>
          <w:color w:val="5A4E46"/>
          <w:sz w:val="22"/>
        </w:rPr>
        <w:t>The portfolio uses three visually similar but structurally different back-navigation patterns across pages:</w:t>
      </w:r>
    </w:p>
    <w:p>
      <w:pPr>
        <w:pStyle w:val="ListBullet"/>
        <w:spacing w:after="60"/>
      </w:pPr>
      <w:r>
        <w:rPr>
          <w:color w:val="5A4E46"/>
          <w:sz w:val="22"/>
        </w:rPr>
        <w:t>.page-header__back — used on Work, Journey, About. Hover: color → --teal, gap widens.</w:t>
      </w:r>
    </w:p>
    <w:p>
      <w:pPr>
        <w:pStyle w:val="ListBullet"/>
        <w:spacing w:after="60"/>
      </w:pPr>
      <w:r>
        <w:rPr>
          <w:color w:val="5A4E46"/>
          <w:sz w:val="22"/>
        </w:rPr>
        <w:t>.contact-panel__back — in contact.html inline styles. Hover: color → --brown.</w:t>
      </w:r>
    </w:p>
    <w:p>
      <w:pPr>
        <w:pStyle w:val="ListBullet"/>
        <w:spacing w:after="60"/>
      </w:pPr>
      <w:r>
        <w:rPr>
          <w:color w:val="5A4E46"/>
          <w:sz w:val="22"/>
        </w:rPr>
        <w:t>.project-hero__back — in project pages. Hover: color → --teal, gap widens.</w:t>
      </w:r>
    </w:p>
    <w:p>
      <w:pPr>
        <w:spacing w:after="80" w:before="0"/>
      </w:pPr>
      <w:r>
        <w:rPr>
          <w:color w:val="5A4E46"/>
          <w:sz w:val="22"/>
        </w:rPr>
        <w:t>All three look nearly identical but use different class names and slightly different hover colours.</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Consolidate into a single .back-link component class in style.css. All three implementations share the same layout, typography, and animation — only the margin-bottom differs between page contexts, which can be overridden locally.</w:t>
      </w:r>
    </w:p>
    <w:p>
      <w:pPr>
        <w:spacing w:before="280" w:after="80"/>
      </w:pPr>
      <w:r>
        <w:rPr>
          <w:b/>
          <w:color w:val="1A3A6E"/>
          <w:sz w:val="30"/>
        </w:rPr>
        <w:t>3.3  Hub page has no navigation header — Advisory</w:t>
      </w:r>
    </w:p>
    <w:p>
      <w:pPr>
        <w:spacing w:after="120" w:before="0"/>
      </w:pPr>
      <w:r>
        <w:rPr>
          <w:color w:val="5A4E46"/>
          <w:sz w:val="22"/>
        </w:rPr>
        <w:t>index.html is the only page without the fixed .nav bar. All other pages share the RC. logo, nav links, and mobile hamburger. The hub uses tiles as navigation, which is a valid creative choice, but creates a small inconsistency: arriving at the hub from any internal page removes the familiar navigation chrome, and there is no "you are here" indicator.</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No change required if the hub is intentionally a blank canvas — just make sure the footer and page title clearly anchor the user. If you ever add a link back to the hub from a deep page, consider whether a logo-only nav strip would feel natural.</w:t>
      </w:r>
    </w:p>
    <w:p>
      <w:pPr>
        <w:spacing w:before="280" w:after="80"/>
      </w:pPr>
      <w:r>
        <w:rPr>
          <w:b/>
          <w:color w:val="1A3A6E"/>
          <w:sz w:val="30"/>
        </w:rPr>
        <w:t>3.4  Inline style proliferation in "bridge" sections — Advisory</w:t>
      </w:r>
    </w:p>
    <w:p>
      <w:pPr>
        <w:spacing w:after="120" w:before="0"/>
      </w:pPr>
      <w:r>
        <w:rPr>
          <w:color w:val="5A4E46"/>
          <w:sz w:val="22"/>
        </w:rPr>
        <w:t>The aside "bridge" blocks on Work, Journey, and About pages use dense inline style attributes to implement their layout and typography — approximately 10–15 CSS properties per element, hardcoded inline. This bypasses the design system entirely, makes the markup hard to read, and means any design change must be made in three separate HTML files instead of one CSS rule.</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Extract the bridge block into a .bridge component class. The pattern is identical across all three pages — display:flex, padding, background, border, border-radius, gap, flex-wrap. A single class covers all instances.</w:t>
      </w:r>
    </w:p>
    <w:p>
      <w:pPr>
        <w:spacing w:before="280" w:after="80"/>
      </w:pPr>
      <w:r>
        <w:rPr>
          <w:b/>
          <w:color w:val="1A3A6E"/>
          <w:sz w:val="30"/>
        </w:rPr>
        <w:t>3.5  work.html filter/sort logic is inline — Advisory</w:t>
      </w:r>
    </w:p>
    <w:p>
      <w:pPr>
        <w:spacing w:after="120" w:before="0"/>
      </w:pPr>
      <w:r>
        <w:rPr>
          <w:color w:val="5A4E46"/>
          <w:sz w:val="22"/>
        </w:rPr>
        <w:t>The filter and sort JavaScript for work.html is embedded in a &lt;script&gt; tag at the bottom of work.html, whereas all other interactive behaviour (typewriter, nav, timeline, context menu) lives in main.js. This split makes it harder to find and update the relevant code.</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Move the inline script to main.js, gated by a check for the #work-grid element. The code already uses this pattern elsewhere (e.g., the typewriter effect checks for #typed-role before running).</w:t>
      </w:r>
    </w:p>
    <w:p>
      <w:r>
        <w:br w:type="page"/>
      </w:r>
    </w:p>
    <w:p>
      <w:pPr>
        <w:spacing w:before="400" w:after="120"/>
        <w:pBdr>
          <w:bottom w:val="single" w:sz="4" w:space="4" w:color="251605"/>
        </w:pBdr>
      </w:pPr>
      <w:r>
        <w:rPr>
          <w:b/>
          <w:color w:val="0F0A06"/>
          <w:sz w:val="44"/>
        </w:rPr>
        <w:t>4. Typography</w:t>
      </w:r>
    </w:p>
    <w:p>
      <w:pPr>
        <w:spacing w:before="280" w:after="80"/>
      </w:pPr>
      <w:r>
        <w:rPr>
          <w:b/>
          <w:color w:val="7A5200"/>
          <w:sz w:val="30"/>
        </w:rPr>
        <w:t>4.1  Sub-10px text labels — Important</w:t>
      </w:r>
    </w:p>
    <w:p>
      <w:pPr>
        <w:spacing w:after="120" w:before="0"/>
      </w:pPr>
      <w:r>
        <w:rPr>
          <w:color w:val="5A4E46"/>
          <w:sz w:val="22"/>
        </w:rPr>
        <w:t>Several elements use font sizes between 0.6rem and 0.66rem (9.6 px – 10.6 px at default 16px browser size). While visually delicate, text below roughly 11px is difficult to read for many users, especially on non-retina displays:</w:t>
      </w:r>
    </w:p>
    <w:p>
      <w:pPr>
        <w:pStyle w:val="ListBullet"/>
        <w:spacing w:after="60"/>
      </w:pPr>
      <w:r>
        <w:rPr>
          <w:color w:val="5A4E46"/>
          <w:sz w:val="22"/>
        </w:rPr>
        <w:t>.ctx-option__label — 0.6rem (context menu labels: "Inspect", "Copy link", etc.)</w:t>
      </w:r>
    </w:p>
    <w:p>
      <w:pPr>
        <w:pStyle w:val="ListBullet"/>
        <w:spacing w:after="60"/>
      </w:pPr>
      <w:r>
        <w:rPr>
          <w:color w:val="5A4E46"/>
          <w:sz w:val="22"/>
        </w:rPr>
        <w:t>.timeline__badge — 0.6rem ("Work" / "Education" badge pill)</w:t>
      </w:r>
    </w:p>
    <w:p>
      <w:pPr>
        <w:pStyle w:val="ListBullet"/>
        <w:spacing w:after="60"/>
      </w:pPr>
      <w:r>
        <w:rPr>
          <w:color w:val="5A4E46"/>
          <w:sz w:val="22"/>
        </w:rPr>
        <w:t>.process-step__label — 0.65rem (case study process steps)</w:t>
      </w:r>
    </w:p>
    <w:p>
      <w:pPr>
        <w:pStyle w:val="ListBullet"/>
        <w:spacing w:after="60"/>
      </w:pPr>
      <w:r>
        <w:rPr>
          <w:color w:val="5A4E46"/>
          <w:sz w:val="22"/>
        </w:rPr>
        <w:t>.project-meta__label — 0.63rem ("Client", "Year", "My role")</w:t>
      </w:r>
    </w:p>
    <w:p>
      <w:pPr>
        <w:pStyle w:val="ListBullet"/>
        <w:spacing w:after="60"/>
      </w:pPr>
      <w:r>
        <w:rPr>
          <w:color w:val="5A4E46"/>
          <w:sz w:val="22"/>
        </w:rPr>
        <w:t>.skills-group__label — 0.66rem ("Design", "Engineering", etc. in About)</w:t>
      </w:r>
    </w:p>
    <w:p>
      <w:pPr>
        <w:spacing w:after="80" w:before="0"/>
      </w:pPr>
      <w:r>
        <w:rPr>
          <w:color w:val="5A4E46"/>
          <w:sz w:val="22"/>
        </w:rPr>
        <w:t>None of these are the primary content, but they are informational rather than purely decorative.</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Bring all informational labels to at least 0.7rem (11.2px). Pure decorative labels (e.g., the tiny "NDA · Enter access code" lock label) can stay smaller since their blurred treatment already signals they are secondary.</w:t>
      </w:r>
    </w:p>
    <w:p>
      <w:pPr>
        <w:spacing w:before="280" w:after="80"/>
      </w:pPr>
      <w:r>
        <w:rPr>
          <w:b/>
          <w:color w:val="1A3A6E"/>
          <w:sz w:val="30"/>
        </w:rPr>
        <w:t>4.2  opacity: 0.75 used instead of an explicit text colour — Advisory</w:t>
      </w:r>
    </w:p>
    <w:p>
      <w:pPr>
        <w:spacing w:after="120" w:before="0"/>
      </w:pPr>
      <w:r>
        <w:rPr>
          <w:color w:val="5A4E46"/>
          <w:sz w:val="22"/>
        </w:rPr>
        <w:t>In about.html, .interest-card__desc uses opacity: 0.75 rather than a specific colour token. This means the actual rendered colour depends entirely on the card background, and it cannot be checked for contrast in isolation. The four card backgrounds are different enough that the effective colours are never consistent.</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Replace opacity: 0.75 with explicit colour values per card variant, or add a per-card token: e.g., --card-text-secondary. Verify each pairing against the card background with a contrast tool.</w:t>
      </w:r>
    </w:p>
    <w:p>
      <w:r>
        <w:br w:type="page"/>
      </w:r>
    </w:p>
    <w:p>
      <w:pPr>
        <w:spacing w:before="400" w:after="120"/>
        <w:pBdr>
          <w:bottom w:val="single" w:sz="4" w:space="4" w:color="251605"/>
        </w:pBdr>
      </w:pPr>
      <w:r>
        <w:rPr>
          <w:b/>
          <w:color w:val="0F0A06"/>
          <w:sz w:val="44"/>
        </w:rPr>
        <w:t>5. Responsive &amp; Structural</w:t>
      </w:r>
    </w:p>
    <w:p>
      <w:pPr>
        <w:spacing w:before="280" w:after="80"/>
      </w:pPr>
      <w:r>
        <w:rPr>
          <w:b/>
          <w:color w:val="1A3A6E"/>
          <w:sz w:val="30"/>
        </w:rPr>
        <w:t>5.1  Duplicate @media block — Advisory</w:t>
      </w:r>
    </w:p>
    <w:p>
      <w:pPr>
        <w:spacing w:after="120" w:before="0"/>
      </w:pPr>
      <w:r>
        <w:rPr>
          <w:color w:val="5A4E46"/>
          <w:sz w:val="22"/>
        </w:rPr>
        <w:t>There are two separate @media (max-width: 1024px) blocks in style.css — one that handles .interests and .journey-layout, and another that handles .contact-page-layout. Duplicate breakpoint blocks are not a bug but they add cognitive overhead when scanning the stylesheet.</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Merge both 1024px blocks into one. Keeping breakpoints consolidated makes it much easier to understand the responsive behaviour at a glance.</w:t>
      </w:r>
    </w:p>
    <w:p>
      <w:pPr>
        <w:spacing w:before="280" w:after="80"/>
      </w:pPr>
      <w:r>
        <w:rPr>
          <w:b/>
          <w:color w:val="1A3A6E"/>
          <w:sz w:val="30"/>
        </w:rPr>
        <w:t>5.2  About and Work grids have no dedicated 768px breakpoint — Advisory</w:t>
      </w:r>
    </w:p>
    <w:p>
      <w:pPr>
        <w:spacing w:after="120" w:before="0"/>
      </w:pPr>
      <w:r>
        <w:rPr>
          <w:color w:val="5A4E46"/>
          <w:sz w:val="22"/>
        </w:rPr>
        <w:t>.about-grid (grid-template-columns: 1.3fr 0.7fr) and .work-grid (grid-template-columns: repeat(2, 1fr)) have no explicit single-column breakpoint. The work grid does correctly pin the last odd card to column 1, and both grids technically reflow at very narrow widths — but a deliberate single-column rule at 768px would make the intent explicit and more maintainable.</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Inside @media (max-width: 768px), add:</w:t>
        <w:br/>
        <w:t>.about-grid { grid-template-columns: 1fr; }</w:t>
        <w:br/>
        <w:t>.work-grid { grid-template-columns: 1fr; }</w:t>
      </w:r>
    </w:p>
    <w:p>
      <w:pPr>
        <w:spacing w:before="280" w:after="80"/>
      </w:pPr>
      <w:r>
        <w:rPr>
          <w:b/>
          <w:color w:val="1A3A6E"/>
          <w:sz w:val="30"/>
        </w:rPr>
        <w:t>5.3  Semantic HTML: two &lt;header&gt; elements per page — Advisory</w:t>
      </w:r>
    </w:p>
    <w:p>
      <w:pPr>
        <w:spacing w:after="120" w:before="0"/>
      </w:pPr>
      <w:r>
        <w:rPr>
          <w:color w:val="5A4E46"/>
          <w:sz w:val="22"/>
        </w:rPr>
        <w:t>On Work, About, Journey, and Contact pages, there are two &lt;header&gt; elements: the nav bar (&lt;header class="nav" role="banner"&gt;) and the page header (&lt;header class="page-header"&gt; inside &lt;main&gt;). Using &lt;header&gt; as a landmark role="banner" is correct for the nav, but re-using &lt;header&gt; inside &lt;main&gt; is technically valid but can confuse screen readers and accessibility tools that surface landmark regions.</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Change the inner page header from &lt;header class="page-header"&gt; to &lt;div class="page-header"&gt; since it is not a sectioning element with its own distinct scope. Or wrap it in &lt;section&gt; and use &lt;header&gt; inside that section.</w:t>
      </w:r>
    </w:p>
    <w:p>
      <w:pPr>
        <w:spacing w:before="280" w:after="80"/>
      </w:pPr>
      <w:r>
        <w:rPr>
          <w:b/>
          <w:color w:val="1A3A6E"/>
          <w:sz w:val="30"/>
        </w:rPr>
        <w:t>5.4  Missing browser chrome metadata — Advisory</w:t>
      </w:r>
    </w:p>
    <w:p>
      <w:pPr>
        <w:spacing w:after="120" w:before="0"/>
      </w:pPr>
      <w:r>
        <w:rPr>
          <w:color w:val="5A4E46"/>
          <w:sz w:val="22"/>
        </w:rPr>
        <w:t>All pages are missing a favicon, &lt;meta name="theme-color"&gt;, and an Apple touch icon. On mobile browsers, the address bar shows a generic globe icon, and there is no colour coordination when the page is pinned or bookmarked. These are lightweight additions that complete the professional feel.</w:t>
      </w:r>
    </w:p>
    <w:p>
      <w:pPr>
        <w:spacing w:before="80" w:after="200"/>
        <w:ind w:left="360" w:right="360"/>
        <w:pBdr>
          <w:top w:val="single" w:sz="4" w:space="4" w:color="5C0A13"/>
          <w:left w:val="single" w:sz="4" w:space="4" w:color="5C0A13"/>
          <w:bottom w:val="single" w:sz="4" w:space="4" w:color="5C0A13"/>
          <w:right w:val="single" w:sz="4" w:space="4" w:color="5C0A13"/>
        </w:pBdr>
      </w:pPr>
      <w:r>
        <w:rPr>
          <w:b/>
          <w:color w:val="5C0A13"/>
          <w:sz w:val="20"/>
        </w:rPr>
        <w:t xml:space="preserve">Fix  </w:t>
      </w:r>
      <w:r>
        <w:rPr>
          <w:color w:val="0F0A06"/>
          <w:sz w:val="20"/>
        </w:rPr>
        <w:t>Add to every &lt;head&gt;:</w:t>
        <w:br/>
        <w:t>&lt;link rel="icon" href="/favicon.ico" type="image/x-icon"&gt;</w:t>
        <w:br/>
        <w:t>&lt;meta name="theme-color" content="#251605"&gt;</w:t>
        <w:br/>
        <w:t>&lt;link rel="apple-touch-icon" href="/apple-touch-icon.png"&gt;</w:t>
      </w:r>
    </w:p>
    <w:p>
      <w:r>
        <w:br w:type="page"/>
      </w:r>
    </w:p>
    <w:p>
      <w:pPr>
        <w:spacing w:before="400" w:after="120"/>
        <w:pBdr>
          <w:bottom w:val="single" w:sz="4" w:space="4" w:color="251605"/>
        </w:pBdr>
      </w:pPr>
      <w:r>
        <w:rPr>
          <w:b/>
          <w:color w:val="1A6E3A"/>
          <w:sz w:val="44"/>
        </w:rPr>
        <w:t>6. What Is Working Well</w:t>
      </w:r>
    </w:p>
    <w:p>
      <w:pPr>
        <w:spacing w:after="160" w:before="0"/>
      </w:pPr>
      <w:r>
        <w:rPr>
          <w:color w:val="5A4E46"/>
          <w:sz w:val="22"/>
        </w:rPr>
        <w:t>This is a high-quality portfolio site with a strong visual identity. The issues above are mostly refinements — the foundations are solid:</w:t>
      </w:r>
    </w:p>
    <w:p>
      <w:pPr>
        <w:pStyle w:val="ListBullet"/>
        <w:spacing w:after="60"/>
      </w:pPr>
      <w:r>
        <w:rPr>
          <w:color w:val="5A4E46"/>
          <w:sz w:val="22"/>
        </w:rPr>
        <w:t>Design token system is a great start — the intent to centralise colours and spacing in :root is clear and well-structured.</w:t>
      </w:r>
    </w:p>
    <w:p>
      <w:pPr>
        <w:pStyle w:val="ListBullet"/>
        <w:spacing w:after="60"/>
      </w:pPr>
      <w:r>
        <w:rPr>
          <w:color w:val="5A4E46"/>
          <w:sz w:val="22"/>
        </w:rPr>
        <w:t>Hover states are well thought through throughout — cards lift, arrows move, tags shift colour. Each interaction feels considered.</w:t>
      </w:r>
    </w:p>
    <w:p>
      <w:pPr>
        <w:pStyle w:val="ListBullet"/>
        <w:spacing w:after="60"/>
      </w:pPr>
      <w:r>
        <w:rPr>
          <w:color w:val="5A4E46"/>
          <w:sz w:val="22"/>
        </w:rPr>
        <w:t>Body text contrast (--muted on --bg) passes at 6.7:1 — core readability is fine.</w:t>
      </w:r>
    </w:p>
    <w:p>
      <w:pPr>
        <w:pStyle w:val="ListBullet"/>
        <w:spacing w:after="60"/>
      </w:pPr>
      <w:r>
        <w:rPr>
          <w:color w:val="5A4E46"/>
          <w:sz w:val="22"/>
        </w:rPr>
        <w:t>ARIA roles and labels are used consistently (role="banner", aria-label, aria-live on the typewriter, aria-hidden on decorative SVGs).</w:t>
      </w:r>
    </w:p>
    <w:p>
      <w:pPr>
        <w:pStyle w:val="ListBullet"/>
        <w:spacing w:after="60"/>
      </w:pPr>
      <w:r>
        <w:rPr>
          <w:color w:val="5A4E46"/>
          <w:sz w:val="22"/>
        </w:rPr>
        <w:t>Mobile menu handles focus management correctly — focus moves to the first link on open, and returns to the hamburger on close.</w:t>
      </w:r>
    </w:p>
    <w:p>
      <w:pPr>
        <w:pStyle w:val="ListBullet"/>
        <w:spacing w:after="60"/>
      </w:pPr>
      <w:r>
        <w:rPr>
          <w:color w:val="5A4E46"/>
          <w:sz w:val="22"/>
        </w:rPr>
        <w:t>Keyboard: Escape closes both the mobile menu and the context menu — correct behaviour.</w:t>
      </w:r>
    </w:p>
    <w:p>
      <w:pPr>
        <w:pStyle w:val="ListBullet"/>
        <w:spacing w:after="60"/>
      </w:pPr>
      <w:r>
        <w:rPr>
          <w:color w:val="5A4E46"/>
          <w:sz w:val="22"/>
        </w:rPr>
        <w:t>IntersectionObserver fallback for older browsers (classList.add("visible") on all elements if the API is unavailable).</w:t>
      </w:r>
    </w:p>
    <w:p>
      <w:pPr>
        <w:pStyle w:val="ListBullet"/>
        <w:spacing w:after="60"/>
      </w:pPr>
      <w:r>
        <w:rPr>
          <w:color w:val="5A4E46"/>
          <w:sz w:val="22"/>
        </w:rPr>
        <w:t>The radial context menu is genuinely delightful — the Sims nod is clever and well-executed.</w:t>
      </w:r>
    </w:p>
    <w:p>
      <w:pPr>
        <w:pStyle w:val="ListBullet"/>
        <w:spacing w:after="60"/>
      </w:pPr>
      <w:r>
        <w:rPr>
          <w:color w:val="5A4E46"/>
          <w:sz w:val="22"/>
        </w:rPr>
        <w:t>Scroll-triggered animations use will-change and unobserve after triggering, which is performant.</w:t>
      </w:r>
    </w:p>
    <w:p>
      <w:pPr>
        <w:pStyle w:val="ListBullet"/>
        <w:spacing w:after="60"/>
      </w:pPr>
      <w:r>
        <w:rPr>
          <w:color w:val="5A4E46"/>
          <w:sz w:val="22"/>
        </w:rPr>
        <w:t>Alt text on images is meaningful and specific ("Rita Coelho in front of the Sydney Opera House"), not filler.</w:t>
      </w:r>
    </w:p>
    <w:p>
      <w:pPr>
        <w:pStyle w:val="ListBullet"/>
        <w:spacing w:after="60"/>
      </w:pPr>
      <w:r>
        <w:rPr>
          <w:color w:val="5A4E46"/>
          <w:sz w:val="22"/>
        </w:rPr>
        <w:t>Structured data (JSON-LD Person schema) in index.html is a professional touch for search engines.</w:t>
      </w:r>
    </w:p>
    <w:p>
      <w:pPr>
        <w:pStyle w:val="ListBullet"/>
        <w:spacing w:after="60"/>
      </w:pPr>
      <w:r>
        <w:rPr>
          <w:color w:val="5A4E46"/>
          <w:sz w:val="22"/>
        </w:rPr>
        <w:t>rel="noopener noreferrer" on all external links — security best practice correctly applied.</w:t>
      </w:r>
    </w:p>
    <w:p>
      <w:pPr>
        <w:pStyle w:val="ListBullet"/>
        <w:spacing w:after="60"/>
      </w:pPr>
      <w:r>
        <w:rPr>
          <w:color w:val="5A4E46"/>
          <w:sz w:val="22"/>
        </w:rPr>
        <w:t>loading="lazy" on all off-screen images — performance best practice in place.</w:t>
      </w:r>
    </w:p>
    <w:p>
      <w:pPr>
        <w:pStyle w:val="ListBullet"/>
        <w:spacing w:after="60"/>
      </w:pPr>
      <w:r>
        <w:rPr>
          <w:color w:val="5A4E46"/>
          <w:sz w:val="22"/>
        </w:rPr>
        <w:t>The footer easter egg (Sims diamond) is charming and tasteful.</w:t>
      </w:r>
    </w:p>
    <w:p>
      <w:r>
        <w:br w:type="page"/>
      </w:r>
    </w:p>
    <w:p>
      <w:pPr>
        <w:spacing w:before="400" w:after="120"/>
        <w:pBdr>
          <w:bottom w:val="single" w:sz="4" w:space="4" w:color="251605"/>
        </w:pBdr>
      </w:pPr>
      <w:r>
        <w:rPr>
          <w:b/>
          <w:color w:val="0F0A06"/>
          <w:sz w:val="44"/>
        </w:rPr>
        <w:t>Quick-Reference: Priority Order</w:t>
      </w:r>
    </w:p>
    <w:p>
      <w:pPr>
        <w:spacing w:after="160" w:before="0"/>
      </w:pPr>
      <w:r>
        <w:rPr>
          <w:color w:val="5A4E46"/>
          <w:sz w:val="22"/>
        </w:rPr>
        <w:t>Fix in this order for maximum impact with minimum disruption: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51605"/>
          </w:tcPr>
          <w:p>
            <w:r>
              <w:rPr>
                <w:b/>
                <w:color w:val="FFFFFF"/>
                <w:sz w:val="18"/>
              </w:rPr>
              <w:t>Priority</w:t>
            </w:r>
          </w:p>
        </w:tc>
        <w:tc>
          <w:tcPr>
            <w:tcW w:type="dxa" w:w="2340"/>
            <w:shd w:val="clear" w:color="auto" w:fill="251605"/>
          </w:tcPr>
          <w:p>
            <w:r>
              <w:rPr>
                <w:b/>
                <w:color w:val="FFFFFF"/>
                <w:sz w:val="18"/>
              </w:rPr>
              <w:t>#</w:t>
            </w:r>
          </w:p>
        </w:tc>
        <w:tc>
          <w:tcPr>
            <w:tcW w:type="dxa" w:w="2340"/>
            <w:shd w:val="clear" w:color="auto" w:fill="251605"/>
          </w:tcPr>
          <w:p>
            <w:r>
              <w:rPr>
                <w:b/>
                <w:color w:val="FFFFFF"/>
                <w:sz w:val="18"/>
              </w:rPr>
              <w:t>Action</w:t>
            </w:r>
          </w:p>
        </w:tc>
        <w:tc>
          <w:tcPr>
            <w:tcW w:type="dxa" w:w="2340"/>
            <w:shd w:val="clear" w:color="auto" w:fill="251605"/>
          </w:tcPr>
          <w:p>
            <w:r>
              <w:rPr>
                <w:b/>
                <w:color w:val="FFFFFF"/>
                <w:sz w:val="18"/>
              </w:rPr>
              <w:t>Category</w:t>
            </w:r>
          </w:p>
        </w:tc>
      </w:tr>
      <w:tr>
        <w:tc>
          <w:tcPr>
            <w:tcW w:type="dxa" w:w="1224"/>
          </w:tcPr>
          <w:p>
            <w:r>
              <w:rPr>
                <w:b/>
                <w:color w:val="8B1A1A"/>
                <w:sz w:val="18"/>
              </w:rPr>
              <w:t>Critical</w:t>
            </w:r>
          </w:p>
        </w:tc>
        <w:tc>
          <w:tcPr>
            <w:tcW w:type="dxa" w:w="432"/>
          </w:tcPr>
          <w:p>
            <w:r>
              <w:rPr>
                <w:b w:val="0"/>
                <w:color w:val="0F0A06"/>
                <w:sz w:val="18"/>
              </w:rPr>
              <w:t>1</w:t>
            </w:r>
          </w:p>
        </w:tc>
        <w:tc>
          <w:tcPr>
            <w:tcW w:type="dxa" w:w="6552"/>
          </w:tcPr>
          <w:p>
            <w:r>
              <w:rPr>
                <w:b w:val="0"/>
                <w:color w:val="5A4E46"/>
                <w:sz w:val="18"/>
              </w:rPr>
              <w:t>Footer text contrast (1.9:1 → needs 4.5:1)</w:t>
            </w:r>
          </w:p>
        </w:tc>
        <w:tc>
          <w:tcPr>
            <w:tcW w:type="dxa" w:w="720"/>
          </w:tcPr>
          <w:p>
            <w:r>
              <w:rPr>
                <w:b w:val="0"/>
                <w:color w:val="5A4E46"/>
                <w:sz w:val="18"/>
              </w:rPr>
            </w:r>
          </w:p>
        </w:tc>
      </w:tr>
      <w:tr>
        <w:tc>
          <w:tcPr>
            <w:tcW w:type="dxa" w:w="1224"/>
          </w:tcPr>
          <w:p>
            <w:r>
              <w:rPr>
                <w:b/>
                <w:color w:val="8B1A1A"/>
                <w:sz w:val="18"/>
              </w:rPr>
              <w:t>Critical</w:t>
            </w:r>
          </w:p>
        </w:tc>
        <w:tc>
          <w:tcPr>
            <w:tcW w:type="dxa" w:w="432"/>
          </w:tcPr>
          <w:p>
            <w:r>
              <w:rPr>
                <w:b w:val="0"/>
                <w:color w:val="0F0A06"/>
                <w:sz w:val="18"/>
              </w:rPr>
              <w:t>2</w:t>
            </w:r>
          </w:p>
        </w:tc>
        <w:tc>
          <w:tcPr>
            <w:tcW w:type="dxa" w:w="6552"/>
          </w:tcPr>
          <w:p>
            <w:r>
              <w:rPr>
                <w:b w:val="0"/>
                <w:color w:val="5A4E46"/>
                <w:sz w:val="18"/>
              </w:rPr>
              <w:t>Replace --light with --muted for all informational text (2.6:1 → 6.7:1)</w:t>
            </w:r>
          </w:p>
        </w:tc>
        <w:tc>
          <w:tcPr>
            <w:tcW w:type="dxa" w:w="720"/>
          </w:tcPr>
          <w:p>
            <w:r>
              <w:rPr>
                <w:b w:val="0"/>
                <w:color w:val="5A4E46"/>
                <w:sz w:val="18"/>
              </w:rPr>
            </w:r>
          </w:p>
        </w:tc>
      </w:tr>
      <w:tr>
        <w:tc>
          <w:tcPr>
            <w:tcW w:type="dxa" w:w="1224"/>
          </w:tcPr>
          <w:p>
            <w:r>
              <w:rPr>
                <w:b/>
                <w:color w:val="8B1A1A"/>
                <w:sz w:val="18"/>
              </w:rPr>
              <w:t>Critical</w:t>
            </w:r>
          </w:p>
        </w:tc>
        <w:tc>
          <w:tcPr>
            <w:tcW w:type="dxa" w:w="432"/>
          </w:tcPr>
          <w:p>
            <w:r>
              <w:rPr>
                <w:b w:val="0"/>
                <w:color w:val="0F0A06"/>
                <w:sz w:val="18"/>
              </w:rPr>
              <w:t>3</w:t>
            </w:r>
          </w:p>
        </w:tc>
        <w:tc>
          <w:tcPr>
            <w:tcW w:type="dxa" w:w="6552"/>
          </w:tcPr>
          <w:p>
            <w:r>
              <w:rPr>
                <w:b w:val="0"/>
                <w:color w:val="5A4E46"/>
                <w:sz w:val="18"/>
              </w:rPr>
              <w:t>Unify token names: replace all --teal / --maroon aliases with --brown / --burgundy</w:t>
            </w:r>
          </w:p>
        </w:tc>
        <w:tc>
          <w:tcPr>
            <w:tcW w:type="dxa" w:w="720"/>
          </w:tcPr>
          <w:p>
            <w:r>
              <w:rPr>
                <w:b w:val="0"/>
                <w:color w:val="5A4E46"/>
                <w:sz w:val="18"/>
              </w:rPr>
            </w:r>
          </w:p>
        </w:tc>
      </w:tr>
      <w:tr>
        <w:tc>
          <w:tcPr>
            <w:tcW w:type="dxa" w:w="1224"/>
          </w:tcPr>
          <w:p>
            <w:r>
              <w:rPr>
                <w:b/>
                <w:color w:val="7A5200"/>
                <w:sz w:val="18"/>
              </w:rPr>
              <w:t>Important</w:t>
            </w:r>
          </w:p>
        </w:tc>
        <w:tc>
          <w:tcPr>
            <w:tcW w:type="dxa" w:w="432"/>
          </w:tcPr>
          <w:p>
            <w:r>
              <w:rPr>
                <w:b w:val="0"/>
                <w:color w:val="0F0A06"/>
                <w:sz w:val="18"/>
              </w:rPr>
              <w:t>4</w:t>
            </w:r>
          </w:p>
        </w:tc>
        <w:tc>
          <w:tcPr>
            <w:tcW w:type="dxa" w:w="6552"/>
          </w:tcPr>
          <w:p>
            <w:r>
              <w:rPr>
                <w:b w:val="0"/>
                <w:color w:val="5A4E46"/>
                <w:sz w:val="18"/>
              </w:rPr>
              <w:t>Add :focus-visible ring to all interactive elements (WCAG 2.4.7)</w:t>
            </w:r>
          </w:p>
        </w:tc>
        <w:tc>
          <w:tcPr>
            <w:tcW w:type="dxa" w:w="720"/>
          </w:tcPr>
          <w:p>
            <w:r>
              <w:rPr>
                <w:b w:val="0"/>
                <w:color w:val="5A4E46"/>
                <w:sz w:val="18"/>
              </w:rPr>
            </w:r>
          </w:p>
        </w:tc>
      </w:tr>
      <w:tr>
        <w:tc>
          <w:tcPr>
            <w:tcW w:type="dxa" w:w="1224"/>
          </w:tcPr>
          <w:p>
            <w:r>
              <w:rPr>
                <w:b/>
                <w:color w:val="7A5200"/>
                <w:sz w:val="18"/>
              </w:rPr>
              <w:t>Important</w:t>
            </w:r>
          </w:p>
        </w:tc>
        <w:tc>
          <w:tcPr>
            <w:tcW w:type="dxa" w:w="432"/>
          </w:tcPr>
          <w:p>
            <w:r>
              <w:rPr>
                <w:b w:val="0"/>
                <w:color w:val="0F0A06"/>
                <w:sz w:val="18"/>
              </w:rPr>
              <w:t>5</w:t>
            </w:r>
          </w:p>
        </w:tc>
        <w:tc>
          <w:tcPr>
            <w:tcW w:type="dxa" w:w="6552"/>
          </w:tcPr>
          <w:p>
            <w:r>
              <w:rPr>
                <w:b w:val="0"/>
                <w:color w:val="5A4E46"/>
                <w:sz w:val="18"/>
              </w:rPr>
              <w:t>Make context-menu trigger visible without hover (keyboard / touch access)</w:t>
            </w:r>
          </w:p>
        </w:tc>
        <w:tc>
          <w:tcPr>
            <w:tcW w:type="dxa" w:w="720"/>
          </w:tcPr>
          <w:p>
            <w:r>
              <w:rPr>
                <w:b w:val="0"/>
                <w:color w:val="5A4E46"/>
                <w:sz w:val="18"/>
              </w:rPr>
            </w:r>
          </w:p>
        </w:tc>
      </w:tr>
      <w:tr>
        <w:tc>
          <w:tcPr>
            <w:tcW w:type="dxa" w:w="1224"/>
          </w:tcPr>
          <w:p>
            <w:r>
              <w:rPr>
                <w:b/>
                <w:color w:val="7A5200"/>
                <w:sz w:val="18"/>
              </w:rPr>
              <w:t>Important</w:t>
            </w:r>
          </w:p>
        </w:tc>
        <w:tc>
          <w:tcPr>
            <w:tcW w:type="dxa" w:w="432"/>
          </w:tcPr>
          <w:p>
            <w:r>
              <w:rPr>
                <w:b w:val="0"/>
                <w:color w:val="0F0A06"/>
                <w:sz w:val="18"/>
              </w:rPr>
              <w:t>6</w:t>
            </w:r>
          </w:p>
        </w:tc>
        <w:tc>
          <w:tcPr>
            <w:tcW w:type="dxa" w:w="6552"/>
          </w:tcPr>
          <w:p>
            <w:r>
              <w:rPr>
                <w:b w:val="0"/>
                <w:color w:val="5A4E46"/>
                <w:sz w:val="18"/>
              </w:rPr>
              <w:t>Increase sub-10px label sizes to ≥ 0.7rem</w:t>
            </w:r>
          </w:p>
        </w:tc>
        <w:tc>
          <w:tcPr>
            <w:tcW w:type="dxa" w:w="720"/>
          </w:tcPr>
          <w:p>
            <w:r>
              <w:rPr>
                <w:b w:val="0"/>
                <w:color w:val="5A4E46"/>
                <w:sz w:val="18"/>
              </w:rPr>
            </w:r>
          </w:p>
        </w:tc>
      </w:tr>
      <w:tr>
        <w:tc>
          <w:tcPr>
            <w:tcW w:type="dxa" w:w="1224"/>
          </w:tcPr>
          <w:p>
            <w:r>
              <w:rPr>
                <w:b/>
                <w:color w:val="7A5200"/>
                <w:sz w:val="18"/>
              </w:rPr>
              <w:t>Important</w:t>
            </w:r>
          </w:p>
        </w:tc>
        <w:tc>
          <w:tcPr>
            <w:tcW w:type="dxa" w:w="432"/>
          </w:tcPr>
          <w:p>
            <w:r>
              <w:rPr>
                <w:b w:val="0"/>
                <w:color w:val="0F0A06"/>
                <w:sz w:val="18"/>
              </w:rPr>
              <w:t>7</w:t>
            </w:r>
          </w:p>
        </w:tc>
        <w:tc>
          <w:tcPr>
            <w:tcW w:type="dxa" w:w="6552"/>
          </w:tcPr>
          <w:p>
            <w:r>
              <w:rPr>
                <w:b w:val="0"/>
                <w:color w:val="5A4E46"/>
                <w:sz w:val="18"/>
              </w:rPr>
              <w:t>Consolidate three back-link implementations into one .back-link class</w:t>
            </w:r>
          </w:p>
        </w:tc>
        <w:tc>
          <w:tcPr>
            <w:tcW w:type="dxa" w:w="720"/>
          </w:tcPr>
          <w:p>
            <w:r>
              <w:rPr>
                <w:b w:val="0"/>
                <w:color w:val="5A4E46"/>
                <w:sz w:val="18"/>
              </w:rPr>
            </w:r>
          </w:p>
        </w:tc>
      </w:tr>
      <w:tr>
        <w:tc>
          <w:tcPr>
            <w:tcW w:type="dxa" w:w="1224"/>
          </w:tcPr>
          <w:p>
            <w:r>
              <w:rPr>
                <w:b/>
                <w:color w:val="1A3A6E"/>
                <w:sz w:val="18"/>
              </w:rPr>
              <w:t>Advisory</w:t>
            </w:r>
          </w:p>
        </w:tc>
        <w:tc>
          <w:tcPr>
            <w:tcW w:type="dxa" w:w="432"/>
          </w:tcPr>
          <w:p>
            <w:r>
              <w:rPr>
                <w:b w:val="0"/>
                <w:color w:val="0F0A06"/>
                <w:sz w:val="18"/>
              </w:rPr>
              <w:t>8</w:t>
            </w:r>
          </w:p>
        </w:tc>
        <w:tc>
          <w:tcPr>
            <w:tcW w:type="dxa" w:w="6552"/>
          </w:tcPr>
          <w:p>
            <w:r>
              <w:rPr>
                <w:b w:val="0"/>
                <w:color w:val="5A4E46"/>
                <w:sz w:val="18"/>
              </w:rPr>
              <w:t>Extract bridge/aside blocks into .bridge component class</w:t>
            </w:r>
          </w:p>
        </w:tc>
        <w:tc>
          <w:tcPr>
            <w:tcW w:type="dxa" w:w="720"/>
          </w:tcPr>
          <w:p>
            <w:r>
              <w:rPr>
                <w:b w:val="0"/>
                <w:color w:val="5A4E46"/>
                <w:sz w:val="18"/>
              </w:rPr>
            </w:r>
          </w:p>
        </w:tc>
      </w:tr>
      <w:tr>
        <w:tc>
          <w:tcPr>
            <w:tcW w:type="dxa" w:w="1224"/>
          </w:tcPr>
          <w:p>
            <w:r>
              <w:rPr>
                <w:b/>
                <w:color w:val="1A3A6E"/>
                <w:sz w:val="18"/>
              </w:rPr>
              <w:t>Advisory</w:t>
            </w:r>
          </w:p>
        </w:tc>
        <w:tc>
          <w:tcPr>
            <w:tcW w:type="dxa" w:w="432"/>
          </w:tcPr>
          <w:p>
            <w:r>
              <w:rPr>
                <w:b w:val="0"/>
                <w:color w:val="0F0A06"/>
                <w:sz w:val="18"/>
              </w:rPr>
              <w:t>9</w:t>
            </w:r>
          </w:p>
        </w:tc>
        <w:tc>
          <w:tcPr>
            <w:tcW w:type="dxa" w:w="6552"/>
          </w:tcPr>
          <w:p>
            <w:r>
              <w:rPr>
                <w:b w:val="0"/>
                <w:color w:val="5A4E46"/>
                <w:sz w:val="18"/>
              </w:rPr>
              <w:t>Remove hover state from non-interactive .skill-tag spans</w:t>
            </w:r>
          </w:p>
        </w:tc>
        <w:tc>
          <w:tcPr>
            <w:tcW w:type="dxa" w:w="720"/>
          </w:tcPr>
          <w:p>
            <w:r>
              <w:rPr>
                <w:b w:val="0"/>
                <w:color w:val="5A4E46"/>
                <w:sz w:val="18"/>
              </w:rPr>
            </w:r>
          </w:p>
        </w:tc>
      </w:tr>
      <w:tr>
        <w:tc>
          <w:tcPr>
            <w:tcW w:type="dxa" w:w="1224"/>
          </w:tcPr>
          <w:p>
            <w:r>
              <w:rPr>
                <w:b/>
                <w:color w:val="1A3A6E"/>
                <w:sz w:val="18"/>
              </w:rPr>
              <w:t>Advisory</w:t>
            </w:r>
          </w:p>
        </w:tc>
        <w:tc>
          <w:tcPr>
            <w:tcW w:type="dxa" w:w="432"/>
          </w:tcPr>
          <w:p>
            <w:r>
              <w:rPr>
                <w:b w:val="0"/>
                <w:color w:val="0F0A06"/>
                <w:sz w:val="18"/>
              </w:rPr>
              <w:t>10</w:t>
            </w:r>
          </w:p>
        </w:tc>
        <w:tc>
          <w:tcPr>
            <w:tcW w:type="dxa" w:w="6552"/>
          </w:tcPr>
          <w:p>
            <w:r>
              <w:rPr>
                <w:b w:val="0"/>
                <w:color w:val="5A4E46"/>
                <w:sz w:val="18"/>
              </w:rPr>
              <w:t>Add active class to mobile menu links</w:t>
            </w:r>
          </w:p>
        </w:tc>
        <w:tc>
          <w:tcPr>
            <w:tcW w:type="dxa" w:w="720"/>
          </w:tcPr>
          <w:p>
            <w:r>
              <w:rPr>
                <w:b w:val="0"/>
                <w:color w:val="5A4E46"/>
                <w:sz w:val="18"/>
              </w:rPr>
            </w:r>
          </w:p>
        </w:tc>
      </w:tr>
      <w:tr>
        <w:tc>
          <w:tcPr>
            <w:tcW w:type="dxa" w:w="1224"/>
          </w:tcPr>
          <w:p>
            <w:r>
              <w:rPr>
                <w:b/>
                <w:color w:val="1A3A6E"/>
                <w:sz w:val="18"/>
              </w:rPr>
              <w:t>Advisory</w:t>
            </w:r>
          </w:p>
        </w:tc>
        <w:tc>
          <w:tcPr>
            <w:tcW w:type="dxa" w:w="432"/>
          </w:tcPr>
          <w:p>
            <w:r>
              <w:rPr>
                <w:b w:val="0"/>
                <w:color w:val="0F0A06"/>
                <w:sz w:val="18"/>
              </w:rPr>
              <w:t>11</w:t>
            </w:r>
          </w:p>
        </w:tc>
        <w:tc>
          <w:tcPr>
            <w:tcW w:type="dxa" w:w="6552"/>
          </w:tcPr>
          <w:p>
            <w:r>
              <w:rPr>
                <w:b w:val="0"/>
                <w:color w:val="5A4E46"/>
                <w:sz w:val="18"/>
              </w:rPr>
              <w:t>Merge duplicate 1024px media query blocks</w:t>
            </w:r>
          </w:p>
        </w:tc>
        <w:tc>
          <w:tcPr>
            <w:tcW w:type="dxa" w:w="720"/>
          </w:tcPr>
          <w:p>
            <w:r>
              <w:rPr>
                <w:b w:val="0"/>
                <w:color w:val="5A4E46"/>
                <w:sz w:val="18"/>
              </w:rPr>
            </w:r>
          </w:p>
        </w:tc>
      </w:tr>
      <w:tr>
        <w:tc>
          <w:tcPr>
            <w:tcW w:type="dxa" w:w="1224"/>
          </w:tcPr>
          <w:p>
            <w:r>
              <w:rPr>
                <w:b/>
                <w:color w:val="1A3A6E"/>
                <w:sz w:val="18"/>
              </w:rPr>
              <w:t>Advisory</w:t>
            </w:r>
          </w:p>
        </w:tc>
        <w:tc>
          <w:tcPr>
            <w:tcW w:type="dxa" w:w="432"/>
          </w:tcPr>
          <w:p>
            <w:r>
              <w:rPr>
                <w:b w:val="0"/>
                <w:color w:val="0F0A06"/>
                <w:sz w:val="18"/>
              </w:rPr>
              <w:t>12</w:t>
            </w:r>
          </w:p>
        </w:tc>
        <w:tc>
          <w:tcPr>
            <w:tcW w:type="dxa" w:w="6552"/>
          </w:tcPr>
          <w:p>
            <w:r>
              <w:rPr>
                <w:b w:val="0"/>
                <w:color w:val="5A4E46"/>
                <w:sz w:val="18"/>
              </w:rPr>
              <w:t>Add explicit 768px single-column rules for .about-grid and .work-grid</w:t>
            </w:r>
          </w:p>
        </w:tc>
        <w:tc>
          <w:tcPr>
            <w:tcW w:type="dxa" w:w="720"/>
          </w:tcPr>
          <w:p>
            <w:r>
              <w:rPr>
                <w:b w:val="0"/>
                <w:color w:val="5A4E46"/>
                <w:sz w:val="18"/>
              </w:rPr>
            </w:r>
          </w:p>
        </w:tc>
      </w:tr>
    </w:tbl>
    <w:p/>
    <w:p>
      <w:pPr>
        <w:spacing w:after="120" w:before="0"/>
      </w:pPr>
      <w:r>
        <w:rPr>
          <w:color w:val="5A4E46"/>
          <w:sz w:val="20"/>
        </w:rPr>
        <w:t>Total estimated remediation time: approximately 4–6 hours for items 1–7 (all critical + important). Items 8–12 add another 2–3 hours. The token rename (#3) is the highest-leverage single change since it unlocks clean, maintainable CSS going forward.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