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818D" w14:textId="77777777" w:rsidR="00800219" w:rsidRDefault="00293445" w:rsidP="00DD70E0">
      <w:pPr>
        <w:rPr>
          <w:rFonts w:ascii="CMU Serif" w:hAnsi="CMU Serif" w:cs="CMU Serif"/>
          <w:b/>
          <w:bCs/>
          <w:sz w:val="28"/>
          <w:szCs w:val="28"/>
          <w:lang w:val="en-US"/>
        </w:rPr>
      </w:pPr>
      <w:r w:rsidRPr="00800219">
        <w:rPr>
          <w:rFonts w:ascii="CMU Serif" w:hAnsi="CMU Serif" w:cs="CMU Serif"/>
          <w:b/>
          <w:bCs/>
          <w:sz w:val="28"/>
          <w:szCs w:val="28"/>
          <w:lang w:val="en-US"/>
        </w:rPr>
        <w:t>Integrated Transcriptomic Analysis Identifies Conserved Molecular Signatures and Hub Genes Associated with Alzheimer's Disease</w:t>
      </w:r>
    </w:p>
    <w:p w14:paraId="37733724" w14:textId="77777777" w:rsidR="00800219" w:rsidRDefault="00800219" w:rsidP="00DD70E0">
      <w:pPr>
        <w:rPr>
          <w:rFonts w:ascii="CMU Serif" w:hAnsi="CMU Serif" w:cs="CMU Serif"/>
          <w:b/>
          <w:bCs/>
          <w:sz w:val="28"/>
          <w:szCs w:val="28"/>
          <w:lang w:val="en-US"/>
        </w:rPr>
      </w:pPr>
    </w:p>
    <w:p w14:paraId="3CCE54C4" w14:textId="4B6480EE" w:rsidR="00800219" w:rsidRPr="00800219" w:rsidRDefault="00800219" w:rsidP="00800219">
      <w:pPr>
        <w:rPr>
          <w:rFonts w:ascii="CMU Serif" w:hAnsi="CMU Serif" w:cs="CMU Serif"/>
          <w:b/>
          <w:bCs/>
          <w:sz w:val="28"/>
          <w:szCs w:val="28"/>
          <w:lang w:val="en-US"/>
        </w:rPr>
      </w:pPr>
      <w:r>
        <w:rPr>
          <w:rFonts w:ascii="CMU Serif" w:hAnsi="CMU Serif" w:cs="CMU Serif"/>
          <w:b/>
          <w:bCs/>
          <w:sz w:val="28"/>
          <w:szCs w:val="28"/>
          <w:lang w:val="en-US"/>
        </w:rPr>
        <w:t>Rita Ellinidou</w:t>
      </w:r>
    </w:p>
    <w:p w14:paraId="3B897420" w14:textId="77777777" w:rsidR="00AC3C2C" w:rsidRDefault="00AC3C2C" w:rsidP="00DD70E0">
      <w:pPr>
        <w:rPr>
          <w:rFonts w:ascii="CMU Serif" w:hAnsi="CMU Serif" w:cs="CMU Serif"/>
          <w:b/>
          <w:bCs/>
          <w:sz w:val="28"/>
          <w:szCs w:val="28"/>
          <w:lang w:val="en-US"/>
        </w:rPr>
      </w:pPr>
      <w:r w:rsidRPr="00AC3C2C">
        <w:rPr>
          <w:rFonts w:ascii="CMU Serif" w:hAnsi="CMU Serif" w:cs="CMU Serif"/>
          <w:b/>
          <w:bCs/>
          <w:sz w:val="28"/>
          <w:szCs w:val="28"/>
          <w:lang w:val="en-US"/>
        </w:rPr>
        <w:t>Independent Bioinformatics Research Project</w:t>
      </w:r>
    </w:p>
    <w:p w14:paraId="13A0CE78" w14:textId="56367926" w:rsidR="00800219" w:rsidRDefault="00800219" w:rsidP="00DD70E0">
      <w:pPr>
        <w:rPr>
          <w:rFonts w:ascii="CMU Serif" w:hAnsi="CMU Serif" w:cs="CMU Serif"/>
          <w:b/>
          <w:bCs/>
          <w:sz w:val="28"/>
          <w:szCs w:val="28"/>
          <w:lang w:val="en-US"/>
        </w:rPr>
      </w:pPr>
      <w:r w:rsidRPr="00800219">
        <w:rPr>
          <w:rFonts w:ascii="CMU Serif" w:hAnsi="CMU Serif" w:cs="CMU Serif"/>
          <w:b/>
          <w:bCs/>
          <w:sz w:val="28"/>
          <w:szCs w:val="28"/>
          <w:lang w:val="en-US"/>
        </w:rPr>
        <w:t>Completed: July 202</w:t>
      </w:r>
      <w:r w:rsidR="00AC3C2C">
        <w:rPr>
          <w:rFonts w:ascii="CMU Serif" w:hAnsi="CMU Serif" w:cs="CMU Serif"/>
          <w:b/>
          <w:bCs/>
          <w:sz w:val="28"/>
          <w:szCs w:val="28"/>
          <w:lang w:val="en-US"/>
        </w:rPr>
        <w:t>6</w:t>
      </w:r>
    </w:p>
    <w:p w14:paraId="44166C15" w14:textId="778EF501" w:rsidR="00800219" w:rsidRPr="00800219" w:rsidRDefault="00800219" w:rsidP="00DD70E0">
      <w:pPr>
        <w:rPr>
          <w:rFonts w:ascii="CMU Serif" w:hAnsi="CMU Serif" w:cs="CMU Serif"/>
          <w:b/>
          <w:bCs/>
          <w:sz w:val="28"/>
          <w:szCs w:val="28"/>
          <w:lang w:val="en-US"/>
        </w:rPr>
      </w:pPr>
      <w:r w:rsidRPr="00800219">
        <w:rPr>
          <w:rFonts w:ascii="CMU Serif" w:hAnsi="CMU Serif" w:cs="CMU Serif"/>
          <w:b/>
          <w:bCs/>
          <w:sz w:val="28"/>
          <w:szCs w:val="28"/>
          <w:lang w:val="en-US"/>
        </w:rPr>
        <w:t xml:space="preserve">Correspondence: </w:t>
      </w:r>
      <w:r>
        <w:rPr>
          <w:rFonts w:ascii="CMU Serif" w:hAnsi="CMU Serif" w:cs="CMU Serif"/>
          <w:b/>
          <w:bCs/>
          <w:sz w:val="28"/>
          <w:szCs w:val="28"/>
          <w:lang w:val="en-US"/>
        </w:rPr>
        <w:t>rita.ell2009@proton.me</w:t>
      </w:r>
    </w:p>
    <w:p w14:paraId="61F8FD6C" w14:textId="2228DE51" w:rsidR="00DD70E0" w:rsidRPr="00800219" w:rsidRDefault="00000000" w:rsidP="00DD70E0">
      <w:pPr>
        <w:rPr>
          <w:rFonts w:ascii="CMU Serif" w:hAnsi="CMU Serif" w:cs="CMU Serif"/>
          <w:sz w:val="24"/>
          <w:szCs w:val="24"/>
          <w:lang w:val="en-US"/>
        </w:rPr>
      </w:pPr>
      <w:r>
        <w:rPr>
          <w:rFonts w:ascii="CMU Serif" w:hAnsi="CMU Serif" w:cs="CMU Serif"/>
          <w:sz w:val="24"/>
          <w:szCs w:val="24"/>
        </w:rPr>
        <w:pict w14:anchorId="301FD16A">
          <v:rect id="_x0000_i1025" style="width:0;height:1.5pt" o:hralign="center" o:hrstd="t" o:hr="t" fillcolor="#a0a0a0" stroked="f"/>
        </w:pict>
      </w:r>
    </w:p>
    <w:p w14:paraId="281EF5F9"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Abstract</w:t>
      </w:r>
    </w:p>
    <w:p w14:paraId="31AD291D"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Alzheimer's disease (AD) is a progressive neurodegenerative disorder characterized by cognitive decline, synaptic dysfunction, and widespread neuronal loss. Despite extensive research, the molecular mechanisms underlying disease progression remain incompletely understood. This study employed an integrated bioinformatics approach to identify robust transcriptomic alterations associated with AD using two independent Gene Expression Omnibus (GEO) microarray datasets (GSE122063 and GSE33000).</w:t>
      </w:r>
    </w:p>
    <w:p w14:paraId="5B0F0743"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was performed independently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package, followed by functional enrichment analyses based on Gene Ontology (GO) and Kyoto Encyclopedia of Genes and Genomes (KEGG) databases. Shared differentially expressed genes (DEGs) were identified through comparative analysis, and protein–protein interaction (PPI) networks were constructed using the STRING database to identify highly connected hub genes.</w:t>
      </w:r>
    </w:p>
    <w:p w14:paraId="6A968B5A"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A total of 914 significant DEGs were identified in GSE122063 and 320 in GSE33000, with 113 genes consistently dysregulated across both datasets. Functional enrichment analysis demonstrated significant alterations in biological processes associated with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neurotransmitter transport,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immune responses. KEGG pathway analysis further highlighted disruption of neuroactive ligand–receptor interaction and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Network analysis identified several highly connected hub genes, including SST, PVALB, GAD1, GAD2, CRH, BDNF and SNAP25, suggesting central roles in neuronal communication and disease-associated molecular networks.</w:t>
      </w:r>
    </w:p>
    <w:p w14:paraId="2C6CD8C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Overall, this integrated transcriptomic analysis identified reproducible molecular signatures associated with Alzheimer's disease and highlighted biological pathways involved in synaptic dysfunction and neuroinflammation. These findings contribute to </w:t>
      </w:r>
      <w:r w:rsidRPr="00800219">
        <w:rPr>
          <w:rFonts w:ascii="CMU Serif" w:hAnsi="CMU Serif" w:cs="CMU Serif"/>
          <w:sz w:val="24"/>
          <w:szCs w:val="24"/>
          <w:lang w:val="en-US"/>
        </w:rPr>
        <w:lastRenderedPageBreak/>
        <w:t>a better understanding of AD pathogenesis and provide a computational framework for future experimental validation and biomarker discovery.</w:t>
      </w:r>
    </w:p>
    <w:p w14:paraId="26CD550B" w14:textId="77777777" w:rsidR="00293445" w:rsidRPr="00800219" w:rsidRDefault="00293445" w:rsidP="00293445">
      <w:pPr>
        <w:rPr>
          <w:rFonts w:ascii="CMU Serif" w:hAnsi="CMU Serif" w:cs="CMU Serif"/>
          <w:b/>
          <w:bCs/>
          <w:sz w:val="24"/>
          <w:szCs w:val="24"/>
          <w:lang w:val="en-US"/>
        </w:rPr>
      </w:pPr>
      <w:r w:rsidRPr="00800219">
        <w:rPr>
          <w:rFonts w:ascii="CMU Serif" w:hAnsi="CMU Serif" w:cs="CMU Serif"/>
          <w:b/>
          <w:bCs/>
          <w:sz w:val="24"/>
          <w:szCs w:val="24"/>
          <w:lang w:val="en-US"/>
        </w:rPr>
        <w:t>1. Introduction</w:t>
      </w:r>
    </w:p>
    <w:p w14:paraId="2E814A84"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Alzheimer's disease (AD) is the most common neurodegenerative disorder and the leading cause of dementia worldwide. The disease is characterized by progressive cognitive decline, synaptic dysfunction, neuronal loss, extracellular accumulation of amyloid-</w:t>
      </w:r>
      <w:r w:rsidRPr="00474F62">
        <w:rPr>
          <w:rFonts w:ascii="CMU Serif" w:hAnsi="CMU Serif" w:cs="CMU Serif"/>
          <w:sz w:val="24"/>
          <w:szCs w:val="24"/>
        </w:rPr>
        <w:t>β</w:t>
      </w:r>
      <w:r w:rsidRPr="00474F62">
        <w:rPr>
          <w:rFonts w:ascii="CMU Serif" w:hAnsi="CMU Serif" w:cs="CMU Serif"/>
          <w:sz w:val="24"/>
          <w:szCs w:val="24"/>
          <w:lang w:val="en-US"/>
        </w:rPr>
        <w:t xml:space="preserve"> plaques, intracellular neurofibrillary tangles, and chronic neuroinflammation. Despite decades of research, the molecular mechanisms underlying AD progression remain incompletely understood, and effective disease-modifying therapies remain limited. As global populations continue to age, identifying robust molecular signatures associated with AD has become an increasingly important research objective.</w:t>
      </w:r>
    </w:p>
    <w:p w14:paraId="311485AB"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Advances in high-throughput transcriptomic technologies have enabled comprehensive investigation of gene expression changes associated with Alzheimer's disease. Public repositories such as the National Center for Biotechnology Information (NCBI) Gene Expression Omnibus (GEO) contain large-scale transcriptomic datasets generated from postmortem human brain tissue, providing valuable opportunities to explore disease-associated molecular alterations. Numerous studies have identified differentially expressed genes and dysregulated biological pathways in AD; however, findings often vary considerably among datasets because of differences in sample composition, brain regions analyzed, experimental platforms, and statistical methodologies.</w:t>
      </w:r>
    </w:p>
    <w:p w14:paraId="7B58B12E"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Integrative transcriptomic analysis offers an effective strategy for addressing these limitations by identifying molecular signatures that remain consistent across independent patient cohorts. Genes and pathways reproducibly dysregulated in multiple datasets are more likely to represent biologically meaningful mechanisms of disease rather than dataset-specific findings. Furthermore, combining differential gene expression analysis with functional enrichment and protein–protein interaction network analysis enables identification of key biological processes and highly connected hub genes that may contribute to disease pathogenesis and serve as potential therapeutic targets.</w:t>
      </w:r>
    </w:p>
    <w:p w14:paraId="14923D88"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Previous transcriptomic studies have implicated synaptic dysfunction, neurotransmitter imbalance, immune activation, and inflammatory signaling in Alzheimer's disease. However, many reported gene signatures lack reproducibility across independent datasets, highlighting the need for integrated approaches capable of identifying robust disease-associated molecular alterations. The increasing availability of publicly accessible transcriptomic resources provides an opportunity to perform such analyses in a reproducible and cost-effective manner.</w:t>
      </w:r>
    </w:p>
    <w:p w14:paraId="494F3BC9"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lastRenderedPageBreak/>
        <w:t>In this study, we integrated two independent Alzheimer's disease gene expression datasets (GSE33000 and GSE44770) obtained from postmortem human brain tissue. Differentially expressed genes were identified independently within each dataset and subsequently compared to determine conserved transcriptomic alterations. Functional enrichment analyses were performed to characterize the biological processes and pathways associated with the shared genes, while protein–protein interaction network analysis was used to identify central hub genes within the conserved molecular network.</w:t>
      </w:r>
    </w:p>
    <w:p w14:paraId="6F42B796" w14:textId="166BB727" w:rsidR="0085607D" w:rsidRPr="00474F62" w:rsidRDefault="00474F62" w:rsidP="0085607D">
      <w:pPr>
        <w:rPr>
          <w:rFonts w:ascii="CMU Serif" w:hAnsi="CMU Serif" w:cs="CMU Serif"/>
          <w:sz w:val="24"/>
          <w:szCs w:val="24"/>
          <w:lang w:val="en-US"/>
        </w:rPr>
      </w:pPr>
      <w:r w:rsidRPr="00474F62">
        <w:rPr>
          <w:rFonts w:ascii="CMU Serif" w:hAnsi="CMU Serif" w:cs="CMU Serif"/>
          <w:sz w:val="24"/>
          <w:szCs w:val="24"/>
          <w:lang w:val="en-US"/>
        </w:rPr>
        <w:t>We hypothesized that integrating independent transcriptomic datasets would reveal reproducible molecular signatures associated with Alzheimer's disease and identify biologically important hub genes involved in disease progression. Through this approach, we aimed to improve understanding of the molecular mechanisms underlying AD while demonstrating the value of reproducible computational analysis using publicly available transcriptomic data.</w:t>
      </w:r>
    </w:p>
    <w:p w14:paraId="3642F87C" w14:textId="77777777" w:rsidR="00DD70E0" w:rsidRPr="00474F62" w:rsidRDefault="00000000" w:rsidP="00DD70E0">
      <w:pPr>
        <w:rPr>
          <w:rFonts w:ascii="CMU Serif" w:hAnsi="CMU Serif" w:cs="CMU Serif"/>
          <w:sz w:val="24"/>
          <w:szCs w:val="24"/>
        </w:rPr>
      </w:pPr>
      <w:r w:rsidRPr="00474F62">
        <w:rPr>
          <w:rFonts w:ascii="CMU Serif" w:hAnsi="CMU Serif" w:cs="CMU Serif"/>
          <w:sz w:val="24"/>
          <w:szCs w:val="24"/>
        </w:rPr>
        <w:pict w14:anchorId="59114AFA">
          <v:rect id="_x0000_i1026" style="width:0;height:1.5pt" o:hralign="center" o:hrstd="t" o:hr="t" fillcolor="#a0a0a0" stroked="f"/>
        </w:pict>
      </w:r>
    </w:p>
    <w:p w14:paraId="02A0FA6E" w14:textId="11E1690F" w:rsidR="00474F62" w:rsidRPr="00474F62" w:rsidRDefault="00474F62" w:rsidP="00474F62">
      <w:pPr>
        <w:rPr>
          <w:rFonts w:ascii="CMU Serif" w:hAnsi="CMU Serif" w:cs="CMU Serif"/>
          <w:b/>
          <w:bCs/>
          <w:sz w:val="24"/>
          <w:szCs w:val="24"/>
          <w:lang w:val="en-US"/>
        </w:rPr>
      </w:pPr>
      <w:r>
        <w:rPr>
          <w:rFonts w:ascii="CMU Serif" w:hAnsi="CMU Serif" w:cs="CMU Serif"/>
          <w:b/>
          <w:bCs/>
          <w:sz w:val="24"/>
          <w:szCs w:val="24"/>
          <w:lang w:val="en-US"/>
        </w:rPr>
        <w:t xml:space="preserve">2. </w:t>
      </w:r>
      <w:r w:rsidRPr="00474F62">
        <w:rPr>
          <w:rFonts w:ascii="CMU Serif" w:hAnsi="CMU Serif" w:cs="CMU Serif"/>
          <w:b/>
          <w:bCs/>
          <w:sz w:val="24"/>
          <w:szCs w:val="24"/>
          <w:lang w:val="en-US"/>
        </w:rPr>
        <w:t>Materials and Methods</w:t>
      </w:r>
    </w:p>
    <w:p w14:paraId="74B3FA8A" w14:textId="50EC3CB2" w:rsidR="00474F62" w:rsidRPr="00474F62" w:rsidRDefault="00474F62" w:rsidP="00474F62">
      <w:pPr>
        <w:rPr>
          <w:rFonts w:ascii="CMU Serif" w:hAnsi="CMU Serif" w:cs="CMU Serif"/>
          <w:b/>
          <w:bCs/>
          <w:sz w:val="24"/>
          <w:szCs w:val="24"/>
          <w:lang w:val="en-US"/>
        </w:rPr>
      </w:pPr>
      <w:r>
        <w:rPr>
          <w:rFonts w:ascii="CMU Serif" w:hAnsi="CMU Serif" w:cs="CMU Serif"/>
          <w:b/>
          <w:bCs/>
          <w:sz w:val="24"/>
          <w:szCs w:val="24"/>
          <w:lang w:val="en-US"/>
        </w:rPr>
        <w:t xml:space="preserve">2.1 </w:t>
      </w:r>
      <w:r w:rsidRPr="00474F62">
        <w:rPr>
          <w:rFonts w:ascii="CMU Serif" w:hAnsi="CMU Serif" w:cs="CMU Serif"/>
          <w:b/>
          <w:bCs/>
          <w:sz w:val="24"/>
          <w:szCs w:val="24"/>
          <w:lang w:val="en-US"/>
        </w:rPr>
        <w:t>Study Design</w:t>
      </w:r>
    </w:p>
    <w:p w14:paraId="379F8343"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A reproducible bioinformatics workflow was employed to identify conserved transcriptomic signatures associated with Alzheimer's disease (AD) by integrating two independent publicly available microarray datasets. Differential gene expression analysis was performed separately for each dataset, followed by identification of shared differentially expressed genes (DEGs), Gene Ontology (GO) enrichment, Kyoto Encyclopedia of Genes and Genomes (KEGG) pathway enrichment, and protein–protein interaction (PPI) network analysis to identify biologically relevant hub genes.</w:t>
      </w:r>
    </w:p>
    <w:p w14:paraId="7D7B66F2" w14:textId="77777777" w:rsidR="00474F62" w:rsidRPr="00474F62" w:rsidRDefault="00474F62" w:rsidP="00474F62">
      <w:pPr>
        <w:rPr>
          <w:rFonts w:ascii="CMU Serif" w:hAnsi="CMU Serif" w:cs="CMU Serif"/>
          <w:b/>
          <w:bCs/>
          <w:sz w:val="24"/>
          <w:szCs w:val="24"/>
        </w:rPr>
      </w:pPr>
      <w:r w:rsidRPr="00474F62">
        <w:rPr>
          <w:rFonts w:ascii="CMU Serif" w:hAnsi="CMU Serif" w:cs="CMU Serif"/>
          <w:b/>
          <w:bCs/>
          <w:sz w:val="24"/>
          <w:szCs w:val="24"/>
        </w:rPr>
        <w:pict w14:anchorId="09F436B3">
          <v:rect id="_x0000_i1099" style="width:0;height:1.5pt" o:hralign="center" o:hrstd="t" o:hr="t" fillcolor="#a0a0a0" stroked="f"/>
        </w:pict>
      </w:r>
    </w:p>
    <w:p w14:paraId="0229484E" w14:textId="157358BC" w:rsidR="00474F62" w:rsidRPr="00474F62" w:rsidRDefault="00474F62" w:rsidP="00474F62">
      <w:pPr>
        <w:rPr>
          <w:rFonts w:ascii="CMU Serif" w:hAnsi="CMU Serif" w:cs="CMU Serif"/>
          <w:b/>
          <w:bCs/>
          <w:sz w:val="24"/>
          <w:szCs w:val="24"/>
          <w:lang w:val="en-US"/>
        </w:rPr>
      </w:pPr>
      <w:r>
        <w:rPr>
          <w:rFonts w:ascii="CMU Serif" w:hAnsi="CMU Serif" w:cs="CMU Serif"/>
          <w:b/>
          <w:bCs/>
          <w:sz w:val="24"/>
          <w:szCs w:val="24"/>
          <w:lang w:val="en-US"/>
        </w:rPr>
        <w:t xml:space="preserve">2.2 </w:t>
      </w:r>
      <w:r w:rsidRPr="00474F62">
        <w:rPr>
          <w:rFonts w:ascii="CMU Serif" w:hAnsi="CMU Serif" w:cs="CMU Serif"/>
          <w:b/>
          <w:bCs/>
          <w:sz w:val="24"/>
          <w:szCs w:val="24"/>
          <w:lang w:val="en-US"/>
        </w:rPr>
        <w:t>Gene Expression Datasets</w:t>
      </w:r>
    </w:p>
    <w:p w14:paraId="04C78B84"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Gene expression datasets were obtained from the National Center for Biotechnology Information (NCBI) Gene Expression Omnibus (GEO) database.</w:t>
      </w:r>
    </w:p>
    <w:p w14:paraId="763FFCC0"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Two independent Alzheimer's disease datasets were selected based on the availability of postmortem human brain tissue samples and sufficient numbers of Alzheimer's disease patients and neurologically healthy controls.</w:t>
      </w:r>
    </w:p>
    <w:p w14:paraId="0FD0529F" w14:textId="77777777" w:rsidR="00474F62" w:rsidRPr="00474F62" w:rsidRDefault="00474F62" w:rsidP="00474F62">
      <w:pPr>
        <w:rPr>
          <w:rFonts w:ascii="CMU Serif" w:hAnsi="CMU Serif" w:cs="CMU Serif"/>
          <w:sz w:val="24"/>
          <w:szCs w:val="24"/>
        </w:rPr>
      </w:pPr>
      <w:r w:rsidRPr="00474F62">
        <w:rPr>
          <w:rFonts w:ascii="CMU Serif" w:hAnsi="CMU Serif" w:cs="CMU Serif"/>
          <w:sz w:val="24"/>
          <w:szCs w:val="24"/>
        </w:rPr>
        <w:t>The datasets included:</w:t>
      </w:r>
    </w:p>
    <w:p w14:paraId="45FE5249" w14:textId="77777777" w:rsidR="00474F62" w:rsidRPr="00474F62" w:rsidRDefault="00474F62" w:rsidP="00474F62">
      <w:pPr>
        <w:numPr>
          <w:ilvl w:val="0"/>
          <w:numId w:val="7"/>
        </w:numPr>
        <w:rPr>
          <w:rFonts w:ascii="CMU Serif" w:hAnsi="CMU Serif" w:cs="CMU Serif"/>
          <w:sz w:val="24"/>
          <w:szCs w:val="24"/>
          <w:lang w:val="en-US"/>
        </w:rPr>
      </w:pPr>
      <w:r w:rsidRPr="00474F62">
        <w:rPr>
          <w:rFonts w:ascii="CMU Serif" w:hAnsi="CMU Serif" w:cs="CMU Serif"/>
          <w:sz w:val="24"/>
          <w:szCs w:val="24"/>
          <w:lang w:val="en-US"/>
        </w:rPr>
        <w:t>GSE33000 (Affymetrix Human Genome U133 Plus 2.0 Array)</w:t>
      </w:r>
    </w:p>
    <w:p w14:paraId="48A7A105" w14:textId="77777777" w:rsidR="00474F62" w:rsidRPr="00474F62" w:rsidRDefault="00474F62" w:rsidP="00474F62">
      <w:pPr>
        <w:numPr>
          <w:ilvl w:val="0"/>
          <w:numId w:val="7"/>
        </w:numPr>
        <w:rPr>
          <w:rFonts w:ascii="CMU Serif" w:hAnsi="CMU Serif" w:cs="CMU Serif"/>
          <w:sz w:val="24"/>
          <w:szCs w:val="24"/>
          <w:lang w:val="en-US"/>
        </w:rPr>
      </w:pPr>
      <w:r w:rsidRPr="00474F62">
        <w:rPr>
          <w:rFonts w:ascii="CMU Serif" w:hAnsi="CMU Serif" w:cs="CMU Serif"/>
          <w:sz w:val="24"/>
          <w:szCs w:val="24"/>
          <w:lang w:val="en-US"/>
        </w:rPr>
        <w:t>GSE44770 (Affymetrix Human Genome U133A Array)</w:t>
      </w:r>
    </w:p>
    <w:p w14:paraId="61D9293C"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lastRenderedPageBreak/>
        <w:t>Only samples classified as Alzheimer's disease or neurologically healthy controls were included in the analysis.</w:t>
      </w:r>
    </w:p>
    <w:p w14:paraId="630FDCA1" w14:textId="77777777" w:rsidR="00474F62" w:rsidRPr="00474F62" w:rsidRDefault="00474F62" w:rsidP="00474F62">
      <w:pPr>
        <w:rPr>
          <w:rFonts w:ascii="CMU Serif" w:hAnsi="CMU Serif" w:cs="CMU Serif"/>
          <w:b/>
          <w:bCs/>
          <w:sz w:val="24"/>
          <w:szCs w:val="24"/>
        </w:rPr>
      </w:pPr>
      <w:r w:rsidRPr="00474F62">
        <w:rPr>
          <w:rFonts w:ascii="CMU Serif" w:hAnsi="CMU Serif" w:cs="CMU Serif"/>
          <w:b/>
          <w:bCs/>
          <w:sz w:val="24"/>
          <w:szCs w:val="24"/>
        </w:rPr>
        <w:pict w14:anchorId="78E3166A">
          <v:rect id="_x0000_i1100" style="width:0;height:1.5pt" o:hralign="center" o:hrstd="t" o:hr="t" fillcolor="#a0a0a0" stroked="f"/>
        </w:pict>
      </w:r>
    </w:p>
    <w:p w14:paraId="728FF3A9" w14:textId="455A9E81" w:rsidR="00474F62" w:rsidRPr="00474F62" w:rsidRDefault="00474F62" w:rsidP="00474F62">
      <w:pPr>
        <w:rPr>
          <w:rFonts w:ascii="CMU Serif" w:hAnsi="CMU Serif" w:cs="CMU Serif"/>
          <w:b/>
          <w:bCs/>
          <w:sz w:val="24"/>
          <w:szCs w:val="24"/>
          <w:lang w:val="en-US"/>
        </w:rPr>
      </w:pPr>
      <w:r>
        <w:rPr>
          <w:rFonts w:ascii="CMU Serif" w:hAnsi="CMU Serif" w:cs="CMU Serif"/>
          <w:b/>
          <w:bCs/>
          <w:sz w:val="24"/>
          <w:szCs w:val="24"/>
          <w:lang w:val="en-US"/>
        </w:rPr>
        <w:t xml:space="preserve">2.3 </w:t>
      </w:r>
      <w:r w:rsidRPr="00474F62">
        <w:rPr>
          <w:rFonts w:ascii="CMU Serif" w:hAnsi="CMU Serif" w:cs="CMU Serif"/>
          <w:b/>
          <w:bCs/>
          <w:sz w:val="24"/>
          <w:szCs w:val="24"/>
          <w:lang w:val="en-US"/>
        </w:rPr>
        <w:t>Differential Gene Expression Analysis</w:t>
      </w:r>
    </w:p>
    <w:p w14:paraId="17839F2C"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All analyses were performed in R (version 4.x) using Bioconductor packages.</w:t>
      </w:r>
    </w:p>
    <w:p w14:paraId="2F7E095E"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 xml:space="preserve">Gene expression matrices and associated phenotype data were downloaded using the </w:t>
      </w:r>
      <w:proofErr w:type="spellStart"/>
      <w:r w:rsidRPr="00474F62">
        <w:rPr>
          <w:rFonts w:ascii="CMU Serif" w:hAnsi="CMU Serif" w:cs="CMU Serif"/>
          <w:sz w:val="24"/>
          <w:szCs w:val="24"/>
          <w:lang w:val="en-US"/>
        </w:rPr>
        <w:t>GEOquery</w:t>
      </w:r>
      <w:proofErr w:type="spellEnd"/>
      <w:r w:rsidRPr="00474F62">
        <w:rPr>
          <w:rFonts w:ascii="CMU Serif" w:hAnsi="CMU Serif" w:cs="CMU Serif"/>
          <w:sz w:val="24"/>
          <w:szCs w:val="24"/>
          <w:lang w:val="en-US"/>
        </w:rPr>
        <w:t xml:space="preserve"> package. Differential gene expression analysis was performed independently for each dataset using the </w:t>
      </w:r>
      <w:proofErr w:type="spellStart"/>
      <w:r w:rsidRPr="00474F62">
        <w:rPr>
          <w:rFonts w:ascii="CMU Serif" w:hAnsi="CMU Serif" w:cs="CMU Serif"/>
          <w:sz w:val="24"/>
          <w:szCs w:val="24"/>
          <w:lang w:val="en-US"/>
        </w:rPr>
        <w:t>limma</w:t>
      </w:r>
      <w:proofErr w:type="spellEnd"/>
      <w:r w:rsidRPr="00474F62">
        <w:rPr>
          <w:rFonts w:ascii="CMU Serif" w:hAnsi="CMU Serif" w:cs="CMU Serif"/>
          <w:sz w:val="24"/>
          <w:szCs w:val="24"/>
          <w:lang w:val="en-US"/>
        </w:rPr>
        <w:t xml:space="preserve"> package. Linear models were fitted for each gene, and empirical Bayes moderation was applied to improve estimation of gene-wise variances.</w:t>
      </w:r>
    </w:p>
    <w:p w14:paraId="113A1F56"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Genes satisfying the following criteria were considered significantly differentially expressed:</w:t>
      </w:r>
    </w:p>
    <w:p w14:paraId="7DD0E4F4" w14:textId="77777777" w:rsidR="00474F62" w:rsidRPr="00474F62" w:rsidRDefault="00474F62" w:rsidP="00474F62">
      <w:pPr>
        <w:numPr>
          <w:ilvl w:val="0"/>
          <w:numId w:val="8"/>
        </w:numPr>
        <w:rPr>
          <w:rFonts w:ascii="CMU Serif" w:hAnsi="CMU Serif" w:cs="CMU Serif"/>
          <w:sz w:val="24"/>
          <w:szCs w:val="24"/>
        </w:rPr>
      </w:pPr>
      <w:r w:rsidRPr="00474F62">
        <w:rPr>
          <w:rFonts w:ascii="CMU Serif" w:hAnsi="CMU Serif" w:cs="CMU Serif"/>
          <w:sz w:val="24"/>
          <w:szCs w:val="24"/>
        </w:rPr>
        <w:t xml:space="preserve">Adjusted </w:t>
      </w:r>
      <w:r w:rsidRPr="00474F62">
        <w:rPr>
          <w:rFonts w:ascii="CMU Serif" w:hAnsi="CMU Serif" w:cs="CMU Serif"/>
          <w:i/>
          <w:iCs/>
          <w:sz w:val="24"/>
          <w:szCs w:val="24"/>
        </w:rPr>
        <w:t>P</w:t>
      </w:r>
      <w:r w:rsidRPr="00474F62">
        <w:rPr>
          <w:rFonts w:ascii="CMU Serif" w:hAnsi="CMU Serif" w:cs="CMU Serif"/>
          <w:sz w:val="24"/>
          <w:szCs w:val="24"/>
        </w:rPr>
        <w:t xml:space="preserve"> value &lt; 0.05</w:t>
      </w:r>
    </w:p>
    <w:p w14:paraId="51EC661E" w14:textId="77777777" w:rsidR="00474F62" w:rsidRPr="00474F62" w:rsidRDefault="00474F62" w:rsidP="00474F62">
      <w:pPr>
        <w:numPr>
          <w:ilvl w:val="0"/>
          <w:numId w:val="8"/>
        </w:numPr>
        <w:rPr>
          <w:rFonts w:ascii="CMU Serif" w:hAnsi="CMU Serif" w:cs="CMU Serif"/>
          <w:sz w:val="24"/>
          <w:szCs w:val="24"/>
          <w:lang w:val="en-US"/>
        </w:rPr>
      </w:pPr>
      <w:r w:rsidRPr="00474F62">
        <w:rPr>
          <w:rFonts w:ascii="CMU Serif" w:hAnsi="CMU Serif" w:cs="CMU Serif"/>
          <w:sz w:val="24"/>
          <w:szCs w:val="24"/>
          <w:lang w:val="en-US"/>
        </w:rPr>
        <w:t>Absolute log</w:t>
      </w:r>
      <w:r w:rsidRPr="00474F62">
        <w:rPr>
          <w:rFonts w:ascii="Cambria Math" w:hAnsi="Cambria Math" w:cs="Cambria Math"/>
          <w:sz w:val="24"/>
          <w:szCs w:val="24"/>
          <w:lang w:val="en-US"/>
        </w:rPr>
        <w:t>₂</w:t>
      </w:r>
      <w:r w:rsidRPr="00474F62">
        <w:rPr>
          <w:rFonts w:ascii="CMU Serif" w:hAnsi="CMU Serif" w:cs="CMU Serif"/>
          <w:sz w:val="24"/>
          <w:szCs w:val="24"/>
          <w:lang w:val="en-US"/>
        </w:rPr>
        <w:t xml:space="preserve"> fold change (|</w:t>
      </w:r>
      <w:proofErr w:type="spellStart"/>
      <w:r w:rsidRPr="00474F62">
        <w:rPr>
          <w:rFonts w:ascii="CMU Serif" w:hAnsi="CMU Serif" w:cs="CMU Serif"/>
          <w:sz w:val="24"/>
          <w:szCs w:val="24"/>
          <w:lang w:val="en-US"/>
        </w:rPr>
        <w:t>log</w:t>
      </w:r>
      <w:r w:rsidRPr="00474F62">
        <w:rPr>
          <w:rFonts w:ascii="Cambria Math" w:hAnsi="Cambria Math" w:cs="Cambria Math"/>
          <w:sz w:val="24"/>
          <w:szCs w:val="24"/>
          <w:lang w:val="en-US"/>
        </w:rPr>
        <w:t>₂</w:t>
      </w:r>
      <w:r w:rsidRPr="00474F62">
        <w:rPr>
          <w:rFonts w:ascii="CMU Serif" w:hAnsi="CMU Serif" w:cs="CMU Serif"/>
          <w:sz w:val="24"/>
          <w:szCs w:val="24"/>
          <w:lang w:val="en-US"/>
        </w:rPr>
        <w:t>FC</w:t>
      </w:r>
      <w:proofErr w:type="spellEnd"/>
      <w:r w:rsidRPr="00474F62">
        <w:rPr>
          <w:rFonts w:ascii="CMU Serif" w:hAnsi="CMU Serif" w:cs="CMU Serif"/>
          <w:sz w:val="24"/>
          <w:szCs w:val="24"/>
          <w:lang w:val="en-US"/>
        </w:rPr>
        <w:t>|) &gt; 1</w:t>
      </w:r>
    </w:p>
    <w:p w14:paraId="751661F0"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Multiple testing correction was performed using the Benjamini–Hochberg false discovery rate (FDR) procedure.</w:t>
      </w:r>
    </w:p>
    <w:p w14:paraId="76B83A9B" w14:textId="77777777" w:rsidR="00474F62" w:rsidRPr="00474F62" w:rsidRDefault="00474F62" w:rsidP="00474F62">
      <w:pPr>
        <w:rPr>
          <w:rFonts w:ascii="CMU Serif" w:hAnsi="CMU Serif" w:cs="CMU Serif"/>
          <w:b/>
          <w:bCs/>
          <w:sz w:val="24"/>
          <w:szCs w:val="24"/>
        </w:rPr>
      </w:pPr>
      <w:r w:rsidRPr="00474F62">
        <w:rPr>
          <w:rFonts w:ascii="CMU Serif" w:hAnsi="CMU Serif" w:cs="CMU Serif"/>
          <w:b/>
          <w:bCs/>
          <w:sz w:val="24"/>
          <w:szCs w:val="24"/>
        </w:rPr>
        <w:pict w14:anchorId="3ADFD2D9">
          <v:rect id="_x0000_i1101" style="width:0;height:1.5pt" o:hralign="center" o:hrstd="t" o:hr="t" fillcolor="#a0a0a0" stroked="f"/>
        </w:pict>
      </w:r>
    </w:p>
    <w:p w14:paraId="14AD476B" w14:textId="261948D0" w:rsidR="00474F62" w:rsidRPr="00474F62" w:rsidRDefault="00474F62" w:rsidP="00474F62">
      <w:pPr>
        <w:rPr>
          <w:rFonts w:ascii="CMU Serif" w:hAnsi="CMU Serif" w:cs="CMU Serif"/>
          <w:b/>
          <w:bCs/>
          <w:sz w:val="24"/>
          <w:szCs w:val="24"/>
          <w:lang w:val="en-US"/>
        </w:rPr>
      </w:pPr>
      <w:r>
        <w:rPr>
          <w:rFonts w:ascii="CMU Serif" w:hAnsi="CMU Serif" w:cs="CMU Serif"/>
          <w:b/>
          <w:bCs/>
          <w:sz w:val="24"/>
          <w:szCs w:val="24"/>
          <w:lang w:val="en-US"/>
        </w:rPr>
        <w:t xml:space="preserve">2.4 </w:t>
      </w:r>
      <w:r w:rsidRPr="00474F62">
        <w:rPr>
          <w:rFonts w:ascii="CMU Serif" w:hAnsi="CMU Serif" w:cs="CMU Serif"/>
          <w:b/>
          <w:bCs/>
          <w:sz w:val="24"/>
          <w:szCs w:val="24"/>
          <w:lang w:val="en-US"/>
        </w:rPr>
        <w:t>Identification of Conserved Differentially Expressed Genes</w:t>
      </w:r>
    </w:p>
    <w:p w14:paraId="56999821"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Significant DEGs identified independently from GSE33000 and GSE44770 were compared to identify genes consistently dysregulated across both datasets.</w:t>
      </w:r>
    </w:p>
    <w:p w14:paraId="5D6E1609"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Only genes differentially expressed in the same direction in both datasets were retained for downstream analyses. These shared DEGs were considered high-confidence Alzheimer's disease-associated genes because they demonstrated reproducible expression changes across independent patient cohorts.</w:t>
      </w:r>
    </w:p>
    <w:p w14:paraId="63502E42" w14:textId="77777777" w:rsidR="00474F62" w:rsidRPr="00474F62" w:rsidRDefault="00474F62" w:rsidP="00474F62">
      <w:pPr>
        <w:rPr>
          <w:rFonts w:ascii="CMU Serif" w:hAnsi="CMU Serif" w:cs="CMU Serif"/>
          <w:b/>
          <w:bCs/>
          <w:sz w:val="24"/>
          <w:szCs w:val="24"/>
        </w:rPr>
      </w:pPr>
      <w:r w:rsidRPr="00474F62">
        <w:rPr>
          <w:rFonts w:ascii="CMU Serif" w:hAnsi="CMU Serif" w:cs="CMU Serif"/>
          <w:b/>
          <w:bCs/>
          <w:sz w:val="24"/>
          <w:szCs w:val="24"/>
        </w:rPr>
        <w:pict w14:anchorId="37A8AFDD">
          <v:rect id="_x0000_i1102" style="width:0;height:1.5pt" o:hralign="center" o:hrstd="t" o:hr="t" fillcolor="#a0a0a0" stroked="f"/>
        </w:pict>
      </w:r>
    </w:p>
    <w:p w14:paraId="160B95C3" w14:textId="10D832F2" w:rsidR="00474F62" w:rsidRPr="00474F62" w:rsidRDefault="00474F62" w:rsidP="00474F62">
      <w:pPr>
        <w:rPr>
          <w:rFonts w:ascii="CMU Serif" w:hAnsi="CMU Serif" w:cs="CMU Serif"/>
          <w:b/>
          <w:bCs/>
          <w:sz w:val="24"/>
          <w:szCs w:val="24"/>
          <w:lang w:val="en-US"/>
        </w:rPr>
      </w:pPr>
      <w:r>
        <w:rPr>
          <w:rFonts w:ascii="CMU Serif" w:hAnsi="CMU Serif" w:cs="CMU Serif"/>
          <w:b/>
          <w:bCs/>
          <w:sz w:val="24"/>
          <w:szCs w:val="24"/>
          <w:lang w:val="en-US"/>
        </w:rPr>
        <w:t xml:space="preserve">2.5 </w:t>
      </w:r>
      <w:r w:rsidRPr="00474F62">
        <w:rPr>
          <w:rFonts w:ascii="CMU Serif" w:hAnsi="CMU Serif" w:cs="CMU Serif"/>
          <w:b/>
          <w:bCs/>
          <w:sz w:val="24"/>
          <w:szCs w:val="24"/>
          <w:lang w:val="en-US"/>
        </w:rPr>
        <w:t>Gene Ontology and KEGG Pathway Enrichment Analysis</w:t>
      </w:r>
    </w:p>
    <w:p w14:paraId="557D1003"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Functional enrichment analysis was performed using the Database for Annotation, Visualization and Integrated Discovery (DAVID, version 2021).</w:t>
      </w:r>
    </w:p>
    <w:p w14:paraId="39DC2971"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Gene Ontology enrichment was evaluated across three functional categories:</w:t>
      </w:r>
    </w:p>
    <w:p w14:paraId="4E2EB289" w14:textId="77777777" w:rsidR="00474F62" w:rsidRPr="00474F62" w:rsidRDefault="00474F62" w:rsidP="00474F62">
      <w:pPr>
        <w:numPr>
          <w:ilvl w:val="0"/>
          <w:numId w:val="9"/>
        </w:numPr>
        <w:rPr>
          <w:rFonts w:ascii="CMU Serif" w:hAnsi="CMU Serif" w:cs="CMU Serif"/>
          <w:sz w:val="24"/>
          <w:szCs w:val="24"/>
        </w:rPr>
      </w:pPr>
      <w:r w:rsidRPr="00474F62">
        <w:rPr>
          <w:rFonts w:ascii="CMU Serif" w:hAnsi="CMU Serif" w:cs="CMU Serif"/>
          <w:sz w:val="24"/>
          <w:szCs w:val="24"/>
        </w:rPr>
        <w:t>Biological Process (BP)</w:t>
      </w:r>
    </w:p>
    <w:p w14:paraId="70840D7B" w14:textId="77777777" w:rsidR="00474F62" w:rsidRPr="00474F62" w:rsidRDefault="00474F62" w:rsidP="00474F62">
      <w:pPr>
        <w:numPr>
          <w:ilvl w:val="0"/>
          <w:numId w:val="9"/>
        </w:numPr>
        <w:rPr>
          <w:rFonts w:ascii="CMU Serif" w:hAnsi="CMU Serif" w:cs="CMU Serif"/>
          <w:sz w:val="24"/>
          <w:szCs w:val="24"/>
        </w:rPr>
      </w:pPr>
      <w:r w:rsidRPr="00474F62">
        <w:rPr>
          <w:rFonts w:ascii="CMU Serif" w:hAnsi="CMU Serif" w:cs="CMU Serif"/>
          <w:sz w:val="24"/>
          <w:szCs w:val="24"/>
        </w:rPr>
        <w:t>Molecular Function (MF)</w:t>
      </w:r>
    </w:p>
    <w:p w14:paraId="15060E1D" w14:textId="77777777" w:rsidR="00474F62" w:rsidRPr="00474F62" w:rsidRDefault="00474F62" w:rsidP="00474F62">
      <w:pPr>
        <w:numPr>
          <w:ilvl w:val="0"/>
          <w:numId w:val="9"/>
        </w:numPr>
        <w:rPr>
          <w:rFonts w:ascii="CMU Serif" w:hAnsi="CMU Serif" w:cs="CMU Serif"/>
          <w:sz w:val="24"/>
          <w:szCs w:val="24"/>
        </w:rPr>
      </w:pPr>
      <w:r w:rsidRPr="00474F62">
        <w:rPr>
          <w:rFonts w:ascii="CMU Serif" w:hAnsi="CMU Serif" w:cs="CMU Serif"/>
          <w:sz w:val="24"/>
          <w:szCs w:val="24"/>
        </w:rPr>
        <w:t>Cellular Component (CC)</w:t>
      </w:r>
    </w:p>
    <w:p w14:paraId="24582DB4"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lastRenderedPageBreak/>
        <w:t>Kyoto Encyclopedia of Genes and Genomes (KEGG) pathway enrichment analysis was also performed to identify biological pathways significantly associated with the conserved DEGs.</w:t>
      </w:r>
    </w:p>
    <w:p w14:paraId="65DE0A96"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 xml:space="preserve">Enriched GO terms and KEGG pathways with </w:t>
      </w:r>
      <w:r w:rsidRPr="00474F62">
        <w:rPr>
          <w:rFonts w:ascii="CMU Serif" w:hAnsi="CMU Serif" w:cs="CMU Serif"/>
          <w:i/>
          <w:iCs/>
          <w:sz w:val="24"/>
          <w:szCs w:val="24"/>
          <w:lang w:val="en-US"/>
        </w:rPr>
        <w:t>P</w:t>
      </w:r>
      <w:r w:rsidRPr="00474F62">
        <w:rPr>
          <w:rFonts w:ascii="CMU Serif" w:hAnsi="CMU Serif" w:cs="CMU Serif"/>
          <w:sz w:val="24"/>
          <w:szCs w:val="24"/>
          <w:lang w:val="en-US"/>
        </w:rPr>
        <w:t xml:space="preserve"> &lt; 0.05 were considered statistically significant.</w:t>
      </w:r>
    </w:p>
    <w:p w14:paraId="1248FF2D" w14:textId="77777777" w:rsidR="00474F62" w:rsidRPr="00474F62" w:rsidRDefault="00474F62" w:rsidP="00474F62">
      <w:pPr>
        <w:rPr>
          <w:rFonts w:ascii="CMU Serif" w:hAnsi="CMU Serif" w:cs="CMU Serif"/>
          <w:b/>
          <w:bCs/>
          <w:sz w:val="24"/>
          <w:szCs w:val="24"/>
        </w:rPr>
      </w:pPr>
      <w:r w:rsidRPr="00474F62">
        <w:rPr>
          <w:rFonts w:ascii="CMU Serif" w:hAnsi="CMU Serif" w:cs="CMU Serif"/>
          <w:b/>
          <w:bCs/>
          <w:sz w:val="24"/>
          <w:szCs w:val="24"/>
        </w:rPr>
        <w:pict w14:anchorId="5D6F93BD">
          <v:rect id="_x0000_i1103" style="width:0;height:1.5pt" o:hralign="center" o:hrstd="t" o:hr="t" fillcolor="#a0a0a0" stroked="f"/>
        </w:pict>
      </w:r>
    </w:p>
    <w:p w14:paraId="15721D4B" w14:textId="66F57A87" w:rsidR="00474F62" w:rsidRPr="00474F62" w:rsidRDefault="00474F62" w:rsidP="00474F62">
      <w:pPr>
        <w:rPr>
          <w:rFonts w:ascii="CMU Serif" w:hAnsi="CMU Serif" w:cs="CMU Serif"/>
          <w:b/>
          <w:bCs/>
          <w:sz w:val="24"/>
          <w:szCs w:val="24"/>
          <w:lang w:val="en-US"/>
        </w:rPr>
      </w:pPr>
      <w:r>
        <w:rPr>
          <w:rFonts w:ascii="CMU Serif" w:hAnsi="CMU Serif" w:cs="CMU Serif"/>
          <w:b/>
          <w:bCs/>
          <w:sz w:val="24"/>
          <w:szCs w:val="24"/>
          <w:lang w:val="en-US"/>
        </w:rPr>
        <w:t xml:space="preserve">2.6 </w:t>
      </w:r>
      <w:r w:rsidRPr="00474F62">
        <w:rPr>
          <w:rFonts w:ascii="CMU Serif" w:hAnsi="CMU Serif" w:cs="CMU Serif"/>
          <w:b/>
          <w:bCs/>
          <w:sz w:val="24"/>
          <w:szCs w:val="24"/>
          <w:lang w:val="en-US"/>
        </w:rPr>
        <w:t>Protein–Protein Interaction Network Analysis</w:t>
      </w:r>
    </w:p>
    <w:p w14:paraId="55DA85B6"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Protein–protein interaction analysis was performed using STRING version 12.0.</w:t>
      </w:r>
    </w:p>
    <w:p w14:paraId="3B486B30"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 xml:space="preserve">The conserved DEGs were uploaded to STRING to construct an interaction network based on experimentally validated and predicted protein interactions. The resulting network was imported into </w:t>
      </w:r>
      <w:proofErr w:type="spellStart"/>
      <w:r w:rsidRPr="00474F62">
        <w:rPr>
          <w:rFonts w:ascii="CMU Serif" w:hAnsi="CMU Serif" w:cs="CMU Serif"/>
          <w:sz w:val="24"/>
          <w:szCs w:val="24"/>
          <w:lang w:val="en-US"/>
        </w:rPr>
        <w:t>Cytoscape</w:t>
      </w:r>
      <w:proofErr w:type="spellEnd"/>
      <w:r w:rsidRPr="00474F62">
        <w:rPr>
          <w:rFonts w:ascii="CMU Serif" w:hAnsi="CMU Serif" w:cs="CMU Serif"/>
          <w:sz w:val="24"/>
          <w:szCs w:val="24"/>
          <w:lang w:val="en-US"/>
        </w:rPr>
        <w:t xml:space="preserve"> (version 3.x) for visualization and network analysis.</w:t>
      </w:r>
    </w:p>
    <w:p w14:paraId="6444E2A2"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Node degree centrality was calculated to identify highly connected genes within the interaction network. Genes with the highest degree centrality were defined as candidate hub genes because of their potential regulatory importance within Alzheimer's disease-associated molecular pathways.</w:t>
      </w:r>
    </w:p>
    <w:p w14:paraId="41B744A8" w14:textId="77777777" w:rsidR="00474F62" w:rsidRPr="00474F62" w:rsidRDefault="00474F62" w:rsidP="00474F62">
      <w:pPr>
        <w:rPr>
          <w:rFonts w:ascii="CMU Serif" w:hAnsi="CMU Serif" w:cs="CMU Serif"/>
          <w:b/>
          <w:bCs/>
          <w:sz w:val="24"/>
          <w:szCs w:val="24"/>
        </w:rPr>
      </w:pPr>
      <w:r w:rsidRPr="00474F62">
        <w:rPr>
          <w:rFonts w:ascii="CMU Serif" w:hAnsi="CMU Serif" w:cs="CMU Serif"/>
          <w:b/>
          <w:bCs/>
          <w:sz w:val="24"/>
          <w:szCs w:val="24"/>
        </w:rPr>
        <w:pict w14:anchorId="1C83AD6D">
          <v:rect id="_x0000_i1104" style="width:0;height:1.5pt" o:hralign="center" o:hrstd="t" o:hr="t" fillcolor="#a0a0a0" stroked="f"/>
        </w:pict>
      </w:r>
    </w:p>
    <w:p w14:paraId="2ED1B8C6" w14:textId="3C1C1EAE" w:rsidR="00474F62" w:rsidRPr="00474F62" w:rsidRDefault="00474F62" w:rsidP="00474F62">
      <w:pPr>
        <w:rPr>
          <w:rFonts w:ascii="CMU Serif" w:hAnsi="CMU Serif" w:cs="CMU Serif"/>
          <w:b/>
          <w:bCs/>
          <w:sz w:val="24"/>
          <w:szCs w:val="24"/>
          <w:lang w:val="en-US"/>
        </w:rPr>
      </w:pPr>
      <w:r>
        <w:rPr>
          <w:rFonts w:ascii="CMU Serif" w:hAnsi="CMU Serif" w:cs="CMU Serif"/>
          <w:b/>
          <w:bCs/>
          <w:sz w:val="24"/>
          <w:szCs w:val="24"/>
          <w:lang w:val="en-US"/>
        </w:rPr>
        <w:t xml:space="preserve">2.7 </w:t>
      </w:r>
      <w:r w:rsidRPr="00474F62">
        <w:rPr>
          <w:rFonts w:ascii="CMU Serif" w:hAnsi="CMU Serif" w:cs="CMU Serif"/>
          <w:b/>
          <w:bCs/>
          <w:sz w:val="24"/>
          <w:szCs w:val="24"/>
          <w:lang w:val="en-US"/>
        </w:rPr>
        <w:t>Data Availability</w:t>
      </w:r>
    </w:p>
    <w:p w14:paraId="3EAA524E"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All transcriptomic datasets analyzed in this study are publicly available through the NCBI Gene Expression Omnibus.</w:t>
      </w:r>
    </w:p>
    <w:p w14:paraId="27245407"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The complete computational workflow, analysis scripts, processed data, figures, and supplementary materials are publicly available through GitHub:</w:t>
      </w:r>
    </w:p>
    <w:p w14:paraId="37B85447" w14:textId="77777777" w:rsidR="00474F62" w:rsidRPr="00474F62" w:rsidRDefault="00474F62" w:rsidP="00474F62">
      <w:pPr>
        <w:rPr>
          <w:rFonts w:ascii="CMU Serif" w:hAnsi="CMU Serif" w:cs="CMU Serif"/>
          <w:sz w:val="24"/>
          <w:szCs w:val="24"/>
          <w:lang w:val="en-US"/>
        </w:rPr>
      </w:pPr>
      <w:hyperlink r:id="rId5" w:history="1">
        <w:r w:rsidRPr="00474F62">
          <w:rPr>
            <w:rStyle w:val="Hyperlink"/>
            <w:rFonts w:ascii="CMU Serif" w:hAnsi="CMU Serif" w:cs="CMU Serif"/>
            <w:sz w:val="24"/>
            <w:szCs w:val="24"/>
            <w:lang w:val="en-US"/>
          </w:rPr>
          <w:t>https://github.com/ritaell/alzheimers-transcriptomic-analysis</w:t>
        </w:r>
      </w:hyperlink>
    </w:p>
    <w:p w14:paraId="3586096D" w14:textId="77777777" w:rsidR="00474F62" w:rsidRPr="00474F62" w:rsidRDefault="00474F62" w:rsidP="00474F62">
      <w:pPr>
        <w:rPr>
          <w:rFonts w:ascii="CMU Serif" w:hAnsi="CMU Serif" w:cs="CMU Serif"/>
          <w:sz w:val="24"/>
          <w:szCs w:val="24"/>
          <w:lang w:val="en-US"/>
        </w:rPr>
      </w:pPr>
      <w:r w:rsidRPr="00474F62">
        <w:rPr>
          <w:rFonts w:ascii="CMU Serif" w:hAnsi="CMU Serif" w:cs="CMU Serif"/>
          <w:sz w:val="24"/>
          <w:szCs w:val="24"/>
          <w:lang w:val="en-US"/>
        </w:rPr>
        <w:t xml:space="preserve">A permanent archived version of the repository is available through </w:t>
      </w:r>
      <w:proofErr w:type="spellStart"/>
      <w:r w:rsidRPr="00474F62">
        <w:rPr>
          <w:rFonts w:ascii="CMU Serif" w:hAnsi="CMU Serif" w:cs="CMU Serif"/>
          <w:sz w:val="24"/>
          <w:szCs w:val="24"/>
          <w:lang w:val="en-US"/>
        </w:rPr>
        <w:t>Zenodo</w:t>
      </w:r>
      <w:proofErr w:type="spellEnd"/>
      <w:r w:rsidRPr="00474F62">
        <w:rPr>
          <w:rFonts w:ascii="CMU Serif" w:hAnsi="CMU Serif" w:cs="CMU Serif"/>
          <w:sz w:val="24"/>
          <w:szCs w:val="24"/>
          <w:lang w:val="en-US"/>
        </w:rPr>
        <w:t>:</w:t>
      </w:r>
    </w:p>
    <w:p w14:paraId="72246812" w14:textId="77777777" w:rsidR="00474F62" w:rsidRPr="00474F62" w:rsidRDefault="00474F62" w:rsidP="00474F62">
      <w:pPr>
        <w:rPr>
          <w:rFonts w:ascii="CMU Serif" w:hAnsi="CMU Serif" w:cs="CMU Serif"/>
          <w:sz w:val="24"/>
          <w:szCs w:val="24"/>
        </w:rPr>
      </w:pPr>
      <w:hyperlink r:id="rId6" w:history="1">
        <w:r w:rsidRPr="00474F62">
          <w:rPr>
            <w:rStyle w:val="Hyperlink"/>
            <w:rFonts w:ascii="CMU Serif" w:hAnsi="CMU Serif" w:cs="CMU Serif"/>
            <w:sz w:val="24"/>
            <w:szCs w:val="24"/>
          </w:rPr>
          <w:t>https://doi.org/10.5281/zenodo.21198586</w:t>
        </w:r>
      </w:hyperlink>
    </w:p>
    <w:p w14:paraId="73F233AA" w14:textId="221E92D8" w:rsidR="00DD70E0" w:rsidRPr="00800219" w:rsidRDefault="00DD70E0" w:rsidP="00DD70E0">
      <w:pPr>
        <w:rPr>
          <w:rFonts w:ascii="CMU Serif" w:hAnsi="CMU Serif" w:cs="CMU Serif"/>
          <w:sz w:val="24"/>
          <w:szCs w:val="24"/>
          <w:lang w:val="en-US"/>
        </w:rPr>
      </w:pPr>
    </w:p>
    <w:p w14:paraId="6FF75C5B" w14:textId="1654E046" w:rsidR="00E12210" w:rsidRPr="00800219" w:rsidRDefault="00000000" w:rsidP="00E12210">
      <w:pPr>
        <w:rPr>
          <w:rFonts w:ascii="CMU Serif" w:hAnsi="CMU Serif" w:cs="CMU Serif"/>
          <w:sz w:val="24"/>
          <w:szCs w:val="24"/>
        </w:rPr>
      </w:pPr>
      <w:r>
        <w:rPr>
          <w:rFonts w:ascii="CMU Serif" w:hAnsi="CMU Serif" w:cs="CMU Serif"/>
          <w:sz w:val="24"/>
          <w:szCs w:val="24"/>
        </w:rPr>
        <w:pict w14:anchorId="7A035A29">
          <v:rect id="_x0000_i1032" style="width:0;height:1.5pt" o:hralign="center" o:hrstd="t" o:hr="t" fillcolor="#a0a0a0" stroked="f"/>
        </w:pict>
      </w:r>
    </w:p>
    <w:p w14:paraId="7F9F0810"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 Results</w:t>
      </w:r>
    </w:p>
    <w:p w14:paraId="52FC10A7" w14:textId="5E92B7FC" w:rsidR="0056720F"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Differential expression analysis was performed independently for each dataset prior to the integrated analysis. A summary of the identified differentially expressed genes is presented in Table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6"/>
        <w:gridCol w:w="1456"/>
        <w:gridCol w:w="1890"/>
        <w:gridCol w:w="1346"/>
        <w:gridCol w:w="1651"/>
      </w:tblGrid>
      <w:tr w:rsidR="00935A4C" w:rsidRPr="00800219" w14:paraId="1D80F3D2" w14:textId="77777777" w:rsidTr="004F16C8">
        <w:trPr>
          <w:tblHeader/>
          <w:tblCellSpacing w:w="15" w:type="dxa"/>
        </w:trPr>
        <w:tc>
          <w:tcPr>
            <w:tcW w:w="0" w:type="auto"/>
            <w:tcBorders>
              <w:top w:val="single" w:sz="4" w:space="0" w:color="auto"/>
              <w:bottom w:val="single" w:sz="4" w:space="0" w:color="auto"/>
            </w:tcBorders>
            <w:vAlign w:val="center"/>
            <w:hideMark/>
          </w:tcPr>
          <w:p w14:paraId="131C61B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lastRenderedPageBreak/>
              <w:t>Dataset</w:t>
            </w:r>
          </w:p>
        </w:tc>
        <w:tc>
          <w:tcPr>
            <w:tcW w:w="0" w:type="auto"/>
            <w:tcBorders>
              <w:top w:val="single" w:sz="4" w:space="0" w:color="auto"/>
              <w:bottom w:val="single" w:sz="4" w:space="0" w:color="auto"/>
            </w:tcBorders>
            <w:vAlign w:val="center"/>
            <w:hideMark/>
          </w:tcPr>
          <w:p w14:paraId="42DD77C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Genes Tested</w:t>
            </w:r>
          </w:p>
        </w:tc>
        <w:tc>
          <w:tcPr>
            <w:tcW w:w="0" w:type="auto"/>
            <w:tcBorders>
              <w:top w:val="single" w:sz="4" w:space="0" w:color="auto"/>
              <w:bottom w:val="single" w:sz="4" w:space="0" w:color="auto"/>
            </w:tcBorders>
            <w:vAlign w:val="center"/>
            <w:hideMark/>
          </w:tcPr>
          <w:p w14:paraId="4549066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Significant DEGs</w:t>
            </w:r>
          </w:p>
        </w:tc>
        <w:tc>
          <w:tcPr>
            <w:tcW w:w="0" w:type="auto"/>
            <w:tcBorders>
              <w:top w:val="single" w:sz="4" w:space="0" w:color="auto"/>
              <w:bottom w:val="single" w:sz="4" w:space="0" w:color="auto"/>
            </w:tcBorders>
            <w:vAlign w:val="center"/>
            <w:hideMark/>
          </w:tcPr>
          <w:p w14:paraId="1D867F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tcBorders>
              <w:top w:val="single" w:sz="4" w:space="0" w:color="auto"/>
              <w:bottom w:val="single" w:sz="4" w:space="0" w:color="auto"/>
            </w:tcBorders>
            <w:vAlign w:val="center"/>
            <w:hideMark/>
          </w:tcPr>
          <w:p w14:paraId="4BC69CF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r>
      <w:tr w:rsidR="00935A4C" w:rsidRPr="00800219" w14:paraId="123DC2BB" w14:textId="77777777">
        <w:trPr>
          <w:tblCellSpacing w:w="15" w:type="dxa"/>
        </w:trPr>
        <w:tc>
          <w:tcPr>
            <w:tcW w:w="0" w:type="auto"/>
            <w:vAlign w:val="center"/>
            <w:hideMark/>
          </w:tcPr>
          <w:p w14:paraId="7716805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GSE122063</w:t>
            </w:r>
          </w:p>
        </w:tc>
        <w:tc>
          <w:tcPr>
            <w:tcW w:w="0" w:type="auto"/>
            <w:vAlign w:val="center"/>
            <w:hideMark/>
          </w:tcPr>
          <w:p w14:paraId="3545E37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32,080</w:t>
            </w:r>
          </w:p>
        </w:tc>
        <w:tc>
          <w:tcPr>
            <w:tcW w:w="0" w:type="auto"/>
            <w:vAlign w:val="center"/>
            <w:hideMark/>
          </w:tcPr>
          <w:p w14:paraId="55343B0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914</w:t>
            </w:r>
          </w:p>
        </w:tc>
        <w:tc>
          <w:tcPr>
            <w:tcW w:w="0" w:type="auto"/>
            <w:vAlign w:val="center"/>
            <w:hideMark/>
          </w:tcPr>
          <w:p w14:paraId="4FCA2E0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337</w:t>
            </w:r>
          </w:p>
        </w:tc>
        <w:tc>
          <w:tcPr>
            <w:tcW w:w="0" w:type="auto"/>
            <w:vAlign w:val="center"/>
            <w:hideMark/>
          </w:tcPr>
          <w:p w14:paraId="1A538C6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577</w:t>
            </w:r>
          </w:p>
        </w:tc>
      </w:tr>
      <w:tr w:rsidR="00935A4C" w:rsidRPr="00800219" w14:paraId="29DD40A8" w14:textId="77777777">
        <w:trPr>
          <w:tblCellSpacing w:w="15" w:type="dxa"/>
        </w:trPr>
        <w:tc>
          <w:tcPr>
            <w:tcW w:w="0" w:type="auto"/>
            <w:vAlign w:val="center"/>
            <w:hideMark/>
          </w:tcPr>
          <w:p w14:paraId="666430B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GSE33000</w:t>
            </w:r>
          </w:p>
        </w:tc>
        <w:tc>
          <w:tcPr>
            <w:tcW w:w="0" w:type="auto"/>
            <w:vAlign w:val="center"/>
            <w:hideMark/>
          </w:tcPr>
          <w:p w14:paraId="2CAD997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16,664</w:t>
            </w:r>
          </w:p>
        </w:tc>
        <w:tc>
          <w:tcPr>
            <w:tcW w:w="0" w:type="auto"/>
            <w:vAlign w:val="center"/>
            <w:hideMark/>
          </w:tcPr>
          <w:p w14:paraId="1AE58B4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w:t>
            </w:r>
          </w:p>
        </w:tc>
        <w:tc>
          <w:tcPr>
            <w:tcW w:w="0" w:type="auto"/>
            <w:vAlign w:val="center"/>
            <w:hideMark/>
          </w:tcPr>
          <w:p w14:paraId="731BFD5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159</w:t>
            </w:r>
          </w:p>
        </w:tc>
        <w:tc>
          <w:tcPr>
            <w:tcW w:w="0" w:type="auto"/>
            <w:vAlign w:val="center"/>
            <w:hideMark/>
          </w:tcPr>
          <w:p w14:paraId="13D33D2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161</w:t>
            </w:r>
          </w:p>
        </w:tc>
      </w:tr>
      <w:tr w:rsidR="00935A4C" w:rsidRPr="00800219" w14:paraId="797ECD42" w14:textId="77777777" w:rsidTr="004F16C8">
        <w:trPr>
          <w:tblCellSpacing w:w="15" w:type="dxa"/>
        </w:trPr>
        <w:tc>
          <w:tcPr>
            <w:tcW w:w="0" w:type="auto"/>
            <w:tcBorders>
              <w:bottom w:val="single" w:sz="4" w:space="0" w:color="auto"/>
            </w:tcBorders>
            <w:vAlign w:val="center"/>
            <w:hideMark/>
          </w:tcPr>
          <w:p w14:paraId="280637D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Integrated analysis</w:t>
            </w:r>
          </w:p>
        </w:tc>
        <w:tc>
          <w:tcPr>
            <w:tcW w:w="0" w:type="auto"/>
            <w:tcBorders>
              <w:bottom w:val="single" w:sz="4" w:space="0" w:color="auto"/>
            </w:tcBorders>
            <w:vAlign w:val="center"/>
            <w:hideMark/>
          </w:tcPr>
          <w:p w14:paraId="1197E4A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c>
          <w:tcPr>
            <w:tcW w:w="0" w:type="auto"/>
            <w:tcBorders>
              <w:bottom w:val="single" w:sz="4" w:space="0" w:color="auto"/>
            </w:tcBorders>
            <w:vAlign w:val="center"/>
            <w:hideMark/>
          </w:tcPr>
          <w:p w14:paraId="0B2CB0F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113 shared DEGs</w:t>
            </w:r>
          </w:p>
        </w:tc>
        <w:tc>
          <w:tcPr>
            <w:tcW w:w="0" w:type="auto"/>
            <w:tcBorders>
              <w:bottom w:val="single" w:sz="4" w:space="0" w:color="auto"/>
            </w:tcBorders>
            <w:vAlign w:val="center"/>
            <w:hideMark/>
          </w:tcPr>
          <w:p w14:paraId="4C8CDD3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c>
          <w:tcPr>
            <w:tcW w:w="0" w:type="auto"/>
            <w:tcBorders>
              <w:bottom w:val="single" w:sz="4" w:space="0" w:color="auto"/>
            </w:tcBorders>
            <w:vAlign w:val="center"/>
            <w:hideMark/>
          </w:tcPr>
          <w:p w14:paraId="530ECA9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r>
    </w:tbl>
    <w:p w14:paraId="7A48501A" w14:textId="48339272"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Although the number of significant genes differed between datasets, both analyses identified substantial transcriptional alterations associated with Alzheimer's disease. The overlap of 113 shared differentially expressed genes provided the basis for the subsequent functional enrichment and network analyses.</w:t>
      </w:r>
    </w:p>
    <w:p w14:paraId="13055B8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3.1 Differential Gene Expression Analysis of GSE122063</w:t>
      </w:r>
    </w:p>
    <w:p w14:paraId="4F9429EC"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Differential gene expression analysis of the GSE122063 dataset identified 914 significantly differentially expressed genes (DEGs) between Alzheimer's disease (AD) and non-demented control samples following statistical testing and multiple-testing correction. Both upregulated and downregulated genes were observed, indicating widespread transcriptional alterations associated with Alzheimer's disease.</w:t>
      </w:r>
    </w:p>
    <w:p w14:paraId="02191635"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Principal Component Analysis (PCA) demonstrated a clear separation between Alzheimer's disease and control samples, suggesting that disease status was a major contributor to the overall variation in gene expression. Although a small degree of overlap between groups was observed, the first two principal components effectively distinguished the majority of Alzheimer's disease samples from healthy controls, supporting the overall quality of the processed dataset.</w:t>
      </w:r>
    </w:p>
    <w:p w14:paraId="1775B01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1. Principal Component Analysis (PCA) of GSE122063 samples.</w:t>
      </w:r>
    </w:p>
    <w:p w14:paraId="00C76FB6" w14:textId="13A683B2"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7616F749" wp14:editId="2688396F">
            <wp:extent cx="5041528" cy="3781425"/>
            <wp:effectExtent l="0" t="0" r="6985" b="0"/>
            <wp:docPr id="102929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93278" name="Picture 102929327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59137" cy="3794633"/>
                    </a:xfrm>
                    <a:prstGeom prst="rect">
                      <a:avLst/>
                    </a:prstGeom>
                  </pic:spPr>
                </pic:pic>
              </a:graphicData>
            </a:graphic>
          </wp:inline>
        </w:drawing>
      </w:r>
    </w:p>
    <w:p w14:paraId="18F05A97"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Genome-wide differential expression patterns were further visualized using a volcano plot (Figure 2). Numerous genes displayed statistically significant expression changes, with several exhibiting both large fold changes and extremely small adjusted </w:t>
      </w:r>
      <w:r w:rsidRPr="00800219">
        <w:rPr>
          <w:rFonts w:ascii="CMU Serif" w:hAnsi="CMU Serif" w:cs="CMU Serif"/>
          <w:i/>
          <w:iCs/>
          <w:sz w:val="24"/>
          <w:szCs w:val="24"/>
          <w:lang w:val="en-US"/>
        </w:rPr>
        <w:t>P</w:t>
      </w:r>
      <w:r w:rsidRPr="00800219">
        <w:rPr>
          <w:rFonts w:ascii="CMU Serif" w:hAnsi="CMU Serif" w:cs="CMU Serif"/>
          <w:sz w:val="24"/>
          <w:szCs w:val="24"/>
          <w:lang w:val="en-US"/>
        </w:rPr>
        <w:t>-values. The volcano plot highlights the broad molecular differences between Alzheimer's disease and control brain tissue while emphasizing the genes with the strongest statistical support.</w:t>
      </w:r>
    </w:p>
    <w:p w14:paraId="57D0183D" w14:textId="2409AC6F"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2. Volcano plot showing differentially expressed genes identified in GSE122063.</w:t>
      </w:r>
    </w:p>
    <w:p w14:paraId="3394712B" w14:textId="32AFCA63"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1CF40A9D" wp14:editId="35A3EC84">
            <wp:extent cx="6107737" cy="4886325"/>
            <wp:effectExtent l="0" t="0" r="7620" b="0"/>
            <wp:docPr id="217140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40304" name="Picture 21714030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32427" cy="4906078"/>
                    </a:xfrm>
                    <a:prstGeom prst="rect">
                      <a:avLst/>
                    </a:prstGeom>
                  </pic:spPr>
                </pic:pic>
              </a:graphicData>
            </a:graphic>
          </wp:inline>
        </w:drawing>
      </w:r>
    </w:p>
    <w:p w14:paraId="653EBDA4"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Among the most significantly dysregulated genes were CIRBP, SPP1, SPON2, CRYAB, and HSPB1. Several of these genes have previously been associated with cellular stress responses, inflammatory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neurodegenerative processes, supporting the biological relevance of the identified expression changes.</w:t>
      </w:r>
    </w:p>
    <w:p w14:paraId="32FE227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whether the most significant DEGs could discriminate between Alzheimer's disease and control samples, hierarchical clustering was performed using the highest-ranked genes. The resulting heatmap revealed distinct expression patterns across the two experimental groups, with Alzheimer's disease samples clustering separately from controls based on the expression profiles of the selected genes.</w:t>
      </w:r>
    </w:p>
    <w:p w14:paraId="5A7DA3B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3. Heatmap of the top differentially expressed genes identified in GSE122063.</w:t>
      </w:r>
    </w:p>
    <w:p w14:paraId="4E993E4F" w14:textId="3690B1FB"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6808BA48" wp14:editId="42656644">
            <wp:extent cx="5400675" cy="5583171"/>
            <wp:effectExtent l="0" t="0" r="0" b="0"/>
            <wp:docPr id="2048196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96295" name="Picture 20481962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4498" cy="5587123"/>
                    </a:xfrm>
                    <a:prstGeom prst="rect">
                      <a:avLst/>
                    </a:prstGeom>
                  </pic:spPr>
                </pic:pic>
              </a:graphicData>
            </a:graphic>
          </wp:inline>
        </w:drawing>
      </w:r>
    </w:p>
    <w:p w14:paraId="20FEBE49"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Collectively, these findings demonstrate that the GSE122063 dataset contains robust transcriptomic differences between Alzheimer's disease and healthy brain tissue, providing a suitable foundation for subsequent pathway enrichment and comparative analyses.</w:t>
      </w:r>
    </w:p>
    <w:p w14:paraId="54B05F7A"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312E464D">
          <v:rect id="_x0000_i1033" style="width:0;height:1.5pt" o:hralign="center" o:hrstd="t" o:hr="t" fillcolor="#a0a0a0" stroked="f"/>
        </w:pict>
      </w:r>
    </w:p>
    <w:p w14:paraId="0D4BB725"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3.2 Differential Gene Expression Analysis of GSE33000</w:t>
      </w:r>
    </w:p>
    <w:p w14:paraId="2CBDC88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validate the reproducibility of the transcriptomic alterations identified in GSE122063, differential expression analysis was independently performed using the GSE33000 dataset. After preprocessing, probe annotation and statistical analysis, 320 significantly differentially expressed genes (DEGs) were identified between Alzheimer's disease and non-demented control samples.</w:t>
      </w:r>
    </w:p>
    <w:p w14:paraId="07C2C4D4"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lastRenderedPageBreak/>
        <w:t>Principal Component Analysis (PCA) demonstrated a clear separation between Alzheimer's disease and control samples, indicating that disease status accounted for a substantial proportion of the overall transcriptional variation within the dataset. Compared with GSE122063, a greater degree of overlap between the two experimental groups was observed; however, the overall clustering pattern remained consistent with the presence of disease-associated molecular differences.</w:t>
      </w:r>
    </w:p>
    <w:p w14:paraId="5605AE1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4. Principal Component Analysis (PCA) of GSE33000 samples.</w:t>
      </w:r>
    </w:p>
    <w:p w14:paraId="070E703A" w14:textId="60078493"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1B75EDBF" wp14:editId="5300024F">
            <wp:extent cx="5731510" cy="4298950"/>
            <wp:effectExtent l="0" t="0" r="2540" b="6350"/>
            <wp:docPr id="942064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64618" name="Picture 9420646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2F38CB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Genome-wide differential expression was subsequently visualized using a volcano plot (Figure 5). Although fewer significant DEGs were detected compared with GSE122063, several genes exhibited substantial expression changes with strong statistical support. The reduced number of significant genes is likely attributable to differences in sample composition, brain region characteristics and experimental platform rather than an absence of Alzheimer's disease-associated transcriptional alterations.</w:t>
      </w:r>
    </w:p>
    <w:p w14:paraId="446AB18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5. Volcano plot showing differentially expressed genes identified in GSE33000.</w:t>
      </w:r>
    </w:p>
    <w:p w14:paraId="004EADD0" w14:textId="65BF1079"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6DE7E81E" wp14:editId="13A24364">
            <wp:extent cx="5731510" cy="4298950"/>
            <wp:effectExtent l="0" t="0" r="2540" b="6350"/>
            <wp:docPr id="588328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28047" name="Picture 5883280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C289E5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Among the most significantly dysregulated genes were NRN1, NEUROD6, PPEF1, SVOP, and BDNF, all of which demonstrated highly significant differential expression between Alzheimer's disease and control samples. Many of these genes are associated with neuronal differentiation, synaptic function and neuroplasticity, supporting previous observations that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are substantially disrupted during Alzheimer's disease progression.</w:t>
      </w:r>
    </w:p>
    <w:p w14:paraId="4D4E7E5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Hierarchical clustering based on the highest-ranked differentially expressed genes further demonstrated distinct expression profiles between Alzheimer's disease and control samples (Figure 6). Alzheimer's disease samples exhibited coordinated alterations across numerous neuronal genes, whereas control samples maintained comparatively stable expression patterns. Despite increased biological heterogeneity relative to the first dataset, the heatmap confirmed that the identified DEGs were capable of separating the two clinical groups.</w:t>
      </w:r>
    </w:p>
    <w:p w14:paraId="5750AAB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6. Heatmap of the top differentially expressed genes identified in GSE33000.</w:t>
      </w:r>
    </w:p>
    <w:p w14:paraId="6DFD797E" w14:textId="191CDE78"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038F6CE7" wp14:editId="7BCA1C07">
            <wp:extent cx="5731510" cy="4933315"/>
            <wp:effectExtent l="0" t="0" r="2540" b="635"/>
            <wp:docPr id="18312856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85647" name="Picture 183128564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933315"/>
                    </a:xfrm>
                    <a:prstGeom prst="rect">
                      <a:avLst/>
                    </a:prstGeom>
                  </pic:spPr>
                </pic:pic>
              </a:graphicData>
            </a:graphic>
          </wp:inline>
        </w:drawing>
      </w:r>
    </w:p>
    <w:p w14:paraId="4CB103C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Overall, the independent analysis of GSE33000 confirmed the presence of widespread transcriptional dysregulation associated with Alzheimer's disease. Although the specific sets of significant genes differed between datasets, both analyses consistently demonstrated substantial alterations in neuronal gene expression, supporting the suitability of integrating both datasets to identify robust disease-associated molecular signatures.</w:t>
      </w:r>
    </w:p>
    <w:p w14:paraId="1D79B8F4"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2A85EDF6">
          <v:rect id="_x0000_i1034" style="width:0;height:1.5pt" o:hralign="center" o:hrstd="t" o:hr="t" fillcolor="#a0a0a0" stroked="f"/>
        </w:pict>
      </w:r>
    </w:p>
    <w:p w14:paraId="61B91A17"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3.3 Integrated Transcriptomic Analysis</w:t>
      </w:r>
    </w:p>
    <w:p w14:paraId="152AE01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Although both transcriptomic datasets demonstrated significant gene expression changes associated with Alzheimer's disease, comparison of the independently generated DEG lists revealed that many genes were unique to each dataset. Such differences are expected because of variations in sample composition, tissue heterogeneity, experimental platforms and cohort characteristics. To identify molecular alterations that were consistently associated with Alzheimer's disease irrespective of dataset-specific variability, an integrated analysis was performed by comparing the significant DEGs identified in GSE122063 and GSE33000.</w:t>
      </w:r>
    </w:p>
    <w:p w14:paraId="28E29B6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lastRenderedPageBreak/>
        <w:t>Intersection of the two DEG lists identified 113 shared differentially expressed genes, representing genes that were consistently dysregulated in Alzheimer's disease across both independent cohorts. These shared genes constitute a robust molecular signature and were selected for all subsequent functional enrichment and network analyses.</w:t>
      </w:r>
    </w:p>
    <w:p w14:paraId="186FC2B7"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7. Venn diagram illustrating the overlap of differentially expressed genes identified in GSE122063 and GSE33000.</w:t>
      </w:r>
    </w:p>
    <w:p w14:paraId="681487FD" w14:textId="22EA38A9"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0E8C652B" wp14:editId="0174E036">
            <wp:extent cx="3227252" cy="2686050"/>
            <wp:effectExtent l="0" t="0" r="0" b="0"/>
            <wp:docPr id="13662947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94735" name="Picture 13662947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31440" cy="2689536"/>
                    </a:xfrm>
                    <a:prstGeom prst="rect">
                      <a:avLst/>
                    </a:prstGeom>
                  </pic:spPr>
                </pic:pic>
              </a:graphicData>
            </a:graphic>
          </wp:inline>
        </w:drawing>
      </w:r>
    </w:p>
    <w:p w14:paraId="128D9E3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Inspection of the shared DEG list demonstrated that several genes involved in neuronal function, immune regulation and cellular stress responses were consistently altered in both datasets. Examples include CIRBP, RBM3, C4A, CARTPT, FCGBP, C4B, FRMPD2, VGF, CRH, ITPKB, CD163, CD44, and SERPINA3. The presence of these genes in two completely independent transcriptomic studies suggests that they represent reproducible molecular alterations associated with Alzheimer's disease rather than dataset-specific findings.</w:t>
      </w:r>
    </w:p>
    <w:p w14:paraId="5DFBF64D"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integrated analysis also demonstrated that although the total number of DEGs differed substantially between datasets (914 in GSE122063 versus 320 in GSE33000), a biologically meaningful subset of genes remained consistently dysregulated across both cohorts. This observation supports the rationale for integrating multiple transcriptomic datasets, as reproducible genes are more likely to reflect core disease mechanisms than genes identified in only a single experiment.</w:t>
      </w:r>
    </w:p>
    <w:p w14:paraId="2624E30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identification of these 113 shared DEGs provided the basis for downstream biological interpretation. Functional enrichment analyses were subsequently performed to determine the biological processes and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most strongly associated with the shared molecular signature, followed by construction of a protein–protein interaction network to identify highly connected hub genes that may play central roles in Alzheimer's disease pathogenesis.</w:t>
      </w:r>
    </w:p>
    <w:p w14:paraId="702580F1" w14:textId="77777777" w:rsidR="00E12210" w:rsidRPr="00800219" w:rsidRDefault="00000000" w:rsidP="00E12210">
      <w:pPr>
        <w:rPr>
          <w:rFonts w:ascii="CMU Serif" w:hAnsi="CMU Serif" w:cs="CMU Serif"/>
          <w:sz w:val="24"/>
          <w:szCs w:val="24"/>
        </w:rPr>
      </w:pPr>
      <w:r>
        <w:rPr>
          <w:rFonts w:ascii="CMU Serif" w:hAnsi="CMU Serif" w:cs="CMU Serif"/>
          <w:sz w:val="24"/>
          <w:szCs w:val="24"/>
        </w:rPr>
        <w:lastRenderedPageBreak/>
        <w:pict w14:anchorId="6F06B441">
          <v:rect id="_x0000_i1035" style="width:0;height:1.5pt" o:hralign="center" o:hrstd="t" o:hr="t" fillcolor="#a0a0a0" stroked="f"/>
        </w:pict>
      </w:r>
    </w:p>
    <w:p w14:paraId="69D086BF"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3.4 Functional Enrichment Analysis of Shared Differentially Expressed Genes</w:t>
      </w:r>
    </w:p>
    <w:p w14:paraId="7FCE4E7C"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the biological significance of the shared transcriptomic signature, Gene Ontology (GO) Biological Process enrichment analysis was performed using the 113 shared DEGs. Rather than considering individual genes in isolation, enrichment analysis identifies biological processes that are collectively overrepresented within the shared gene set, thereby providing insight into the cellular mechanisms most consistently affected in Alzheimer's disease.</w:t>
      </w:r>
    </w:p>
    <w:p w14:paraId="28A5E9FA"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shared DEGs showed significant enrichment for biological processes related to neuronal communication, synaptic activity, regulation of neurotransmission and immune-associated cellular responses. Several enriched terms were associated with chemical synaptic transmission, regulation of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inflammatory mechanisms, indicating that both neuronal dysfunction and immune activation contribute substantially to the molecular phenotype shared between the two Alzheimer's disease cohorts.</w:t>
      </w:r>
    </w:p>
    <w:p w14:paraId="52C31EF5" w14:textId="5981EBAB"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Figure 8. Gene Ontology enrichment analysis of the shared differentially expressed genes showing significantly enriched Biological Process, Cellular Component and Molecular Function categories.</w:t>
      </w:r>
      <w:r w:rsidR="008137FA" w:rsidRPr="00800219">
        <w:rPr>
          <w:rFonts w:ascii="CMU Serif" w:hAnsi="CMU Serif" w:cs="CMU Serif"/>
          <w:noProof/>
          <w:sz w:val="24"/>
          <w:szCs w:val="24"/>
          <w:lang w:val="en-US"/>
        </w:rPr>
        <w:drawing>
          <wp:inline distT="0" distB="0" distL="0" distR="0" wp14:anchorId="4437A015" wp14:editId="3E98A814">
            <wp:extent cx="5387018" cy="4438650"/>
            <wp:effectExtent l="0" t="0" r="4445" b="0"/>
            <wp:docPr id="882022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22978" name="Picture 88202297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88921" cy="4440218"/>
                    </a:xfrm>
                    <a:prstGeom prst="rect">
                      <a:avLst/>
                    </a:prstGeom>
                  </pic:spPr>
                </pic:pic>
              </a:graphicData>
            </a:graphic>
          </wp:inline>
        </w:drawing>
      </w:r>
    </w:p>
    <w:p w14:paraId="2DAB9208"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lastRenderedPageBreak/>
        <w:t xml:space="preserve">The integrated analysis identified 113 genes that were consistently differentially expressed in both datasets. Representative genes with established roles in neuronal function,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neuroinflammation are presented in Table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1892"/>
        <w:gridCol w:w="4979"/>
      </w:tblGrid>
      <w:tr w:rsidR="00935A4C" w:rsidRPr="00800219" w14:paraId="6F5292B9" w14:textId="77777777" w:rsidTr="004F16C8">
        <w:trPr>
          <w:tblHeader/>
          <w:tblCellSpacing w:w="15" w:type="dxa"/>
        </w:trPr>
        <w:tc>
          <w:tcPr>
            <w:tcW w:w="0" w:type="auto"/>
            <w:tcBorders>
              <w:top w:val="single" w:sz="4" w:space="0" w:color="auto"/>
              <w:bottom w:val="single" w:sz="4" w:space="0" w:color="auto"/>
            </w:tcBorders>
            <w:vAlign w:val="center"/>
            <w:hideMark/>
          </w:tcPr>
          <w:p w14:paraId="5601532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w:t>
            </w:r>
          </w:p>
        </w:tc>
        <w:tc>
          <w:tcPr>
            <w:tcW w:w="0" w:type="auto"/>
            <w:tcBorders>
              <w:top w:val="single" w:sz="4" w:space="0" w:color="auto"/>
              <w:bottom w:val="single" w:sz="4" w:space="0" w:color="auto"/>
            </w:tcBorders>
            <w:vAlign w:val="center"/>
            <w:hideMark/>
          </w:tcPr>
          <w:p w14:paraId="0BE0928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Expression Trend</w:t>
            </w:r>
          </w:p>
        </w:tc>
        <w:tc>
          <w:tcPr>
            <w:tcW w:w="0" w:type="auto"/>
            <w:tcBorders>
              <w:top w:val="single" w:sz="4" w:space="0" w:color="auto"/>
              <w:bottom w:val="single" w:sz="4" w:space="0" w:color="auto"/>
            </w:tcBorders>
            <w:vAlign w:val="center"/>
            <w:hideMark/>
          </w:tcPr>
          <w:p w14:paraId="4162333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Reported Biological Function</w:t>
            </w:r>
          </w:p>
        </w:tc>
      </w:tr>
      <w:tr w:rsidR="00935A4C" w:rsidRPr="0085607D" w14:paraId="77BD57E0" w14:textId="77777777">
        <w:trPr>
          <w:tblCellSpacing w:w="15" w:type="dxa"/>
        </w:trPr>
        <w:tc>
          <w:tcPr>
            <w:tcW w:w="0" w:type="auto"/>
            <w:vAlign w:val="center"/>
            <w:hideMark/>
          </w:tcPr>
          <w:p w14:paraId="4DD3BEB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BDNF</w:t>
            </w:r>
          </w:p>
        </w:tc>
        <w:tc>
          <w:tcPr>
            <w:tcW w:w="0" w:type="auto"/>
            <w:vAlign w:val="center"/>
            <w:hideMark/>
          </w:tcPr>
          <w:p w14:paraId="4F474CF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7D607033"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 xml:space="preserve">Neurotrophic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synaptic plasticity</w:t>
            </w:r>
          </w:p>
        </w:tc>
      </w:tr>
      <w:tr w:rsidR="00935A4C" w:rsidRPr="00800219" w14:paraId="13D3C7F6" w14:textId="77777777">
        <w:trPr>
          <w:tblCellSpacing w:w="15" w:type="dxa"/>
        </w:trPr>
        <w:tc>
          <w:tcPr>
            <w:tcW w:w="0" w:type="auto"/>
            <w:vAlign w:val="center"/>
            <w:hideMark/>
          </w:tcPr>
          <w:p w14:paraId="35E1164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CRH</w:t>
            </w:r>
          </w:p>
        </w:tc>
        <w:tc>
          <w:tcPr>
            <w:tcW w:w="0" w:type="auto"/>
            <w:vAlign w:val="center"/>
            <w:hideMark/>
          </w:tcPr>
          <w:p w14:paraId="171F620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2A016D8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Neuroendocrine signalling</w:t>
            </w:r>
          </w:p>
        </w:tc>
      </w:tr>
      <w:tr w:rsidR="00935A4C" w:rsidRPr="0085607D" w14:paraId="5AFFF69D" w14:textId="77777777">
        <w:trPr>
          <w:tblCellSpacing w:w="15" w:type="dxa"/>
        </w:trPr>
        <w:tc>
          <w:tcPr>
            <w:tcW w:w="0" w:type="auto"/>
            <w:vAlign w:val="center"/>
            <w:hideMark/>
          </w:tcPr>
          <w:p w14:paraId="3EAADBC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VGF</w:t>
            </w:r>
          </w:p>
        </w:tc>
        <w:tc>
          <w:tcPr>
            <w:tcW w:w="0" w:type="auto"/>
            <w:vAlign w:val="center"/>
            <w:hideMark/>
          </w:tcPr>
          <w:p w14:paraId="3BBDDF4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7E2B3793"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Synaptic plasticity and neuronal survival</w:t>
            </w:r>
          </w:p>
        </w:tc>
      </w:tr>
      <w:tr w:rsidR="00935A4C" w:rsidRPr="00800219" w14:paraId="74088167" w14:textId="77777777">
        <w:trPr>
          <w:tblCellSpacing w:w="15" w:type="dxa"/>
        </w:trPr>
        <w:tc>
          <w:tcPr>
            <w:tcW w:w="0" w:type="auto"/>
            <w:vAlign w:val="center"/>
            <w:hideMark/>
          </w:tcPr>
          <w:p w14:paraId="28A4DAC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FRMPD2</w:t>
            </w:r>
          </w:p>
        </w:tc>
        <w:tc>
          <w:tcPr>
            <w:tcW w:w="0" w:type="auto"/>
            <w:vAlign w:val="center"/>
            <w:hideMark/>
          </w:tcPr>
          <w:p w14:paraId="5768B8F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678BAA1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organisation</w:t>
            </w:r>
          </w:p>
        </w:tc>
      </w:tr>
      <w:tr w:rsidR="00935A4C" w:rsidRPr="00800219" w14:paraId="5768A711" w14:textId="77777777">
        <w:trPr>
          <w:tblCellSpacing w:w="15" w:type="dxa"/>
        </w:trPr>
        <w:tc>
          <w:tcPr>
            <w:tcW w:w="0" w:type="auto"/>
            <w:vAlign w:val="center"/>
            <w:hideMark/>
          </w:tcPr>
          <w:p w14:paraId="055938D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ITPKB</w:t>
            </w:r>
          </w:p>
        </w:tc>
        <w:tc>
          <w:tcPr>
            <w:tcW w:w="0" w:type="auto"/>
            <w:vAlign w:val="center"/>
            <w:hideMark/>
          </w:tcPr>
          <w:p w14:paraId="4AE663A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0389C57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signalling</w:t>
            </w:r>
          </w:p>
        </w:tc>
      </w:tr>
      <w:tr w:rsidR="00935A4C" w:rsidRPr="00800219" w14:paraId="3252F3E8" w14:textId="77777777">
        <w:trPr>
          <w:tblCellSpacing w:w="15" w:type="dxa"/>
        </w:trPr>
        <w:tc>
          <w:tcPr>
            <w:tcW w:w="0" w:type="auto"/>
            <w:vAlign w:val="center"/>
            <w:hideMark/>
          </w:tcPr>
          <w:p w14:paraId="64DE0C4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CAMK4</w:t>
            </w:r>
          </w:p>
        </w:tc>
        <w:tc>
          <w:tcPr>
            <w:tcW w:w="0" w:type="auto"/>
            <w:vAlign w:val="center"/>
            <w:hideMark/>
          </w:tcPr>
          <w:p w14:paraId="358A804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1D67CDE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Neuronal signalling</w:t>
            </w:r>
          </w:p>
        </w:tc>
      </w:tr>
      <w:tr w:rsidR="00935A4C" w:rsidRPr="00800219" w14:paraId="548C4094" w14:textId="77777777">
        <w:trPr>
          <w:tblCellSpacing w:w="15" w:type="dxa"/>
        </w:trPr>
        <w:tc>
          <w:tcPr>
            <w:tcW w:w="0" w:type="auto"/>
            <w:vAlign w:val="center"/>
            <w:hideMark/>
          </w:tcPr>
          <w:p w14:paraId="3363CEB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NEUROD6</w:t>
            </w:r>
          </w:p>
        </w:tc>
        <w:tc>
          <w:tcPr>
            <w:tcW w:w="0" w:type="auto"/>
            <w:vAlign w:val="center"/>
            <w:hideMark/>
          </w:tcPr>
          <w:p w14:paraId="16FE2E9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304EA7E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Neuronal differentiation</w:t>
            </w:r>
          </w:p>
        </w:tc>
      </w:tr>
      <w:tr w:rsidR="00935A4C" w:rsidRPr="00800219" w14:paraId="400791F1" w14:textId="77777777">
        <w:trPr>
          <w:tblCellSpacing w:w="15" w:type="dxa"/>
        </w:trPr>
        <w:tc>
          <w:tcPr>
            <w:tcW w:w="0" w:type="auto"/>
            <w:vAlign w:val="center"/>
            <w:hideMark/>
          </w:tcPr>
          <w:p w14:paraId="23964AA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SVOP</w:t>
            </w:r>
          </w:p>
        </w:tc>
        <w:tc>
          <w:tcPr>
            <w:tcW w:w="0" w:type="auto"/>
            <w:vAlign w:val="center"/>
            <w:hideMark/>
          </w:tcPr>
          <w:p w14:paraId="57BBB1A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569C2A1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vesicle function</w:t>
            </w:r>
          </w:p>
        </w:tc>
      </w:tr>
      <w:tr w:rsidR="00935A4C" w:rsidRPr="00800219" w14:paraId="4B6273D7" w14:textId="77777777">
        <w:trPr>
          <w:tblCellSpacing w:w="15" w:type="dxa"/>
        </w:trPr>
        <w:tc>
          <w:tcPr>
            <w:tcW w:w="0" w:type="auto"/>
            <w:vAlign w:val="center"/>
            <w:hideMark/>
          </w:tcPr>
          <w:p w14:paraId="7D769F5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C1QC</w:t>
            </w:r>
          </w:p>
        </w:tc>
        <w:tc>
          <w:tcPr>
            <w:tcW w:w="0" w:type="auto"/>
            <w:vAlign w:val="center"/>
            <w:hideMark/>
          </w:tcPr>
          <w:p w14:paraId="4ACCCAA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2D87BCC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Complement activation</w:t>
            </w:r>
          </w:p>
        </w:tc>
      </w:tr>
      <w:tr w:rsidR="00935A4C" w:rsidRPr="00800219" w14:paraId="1AB286AC" w14:textId="77777777">
        <w:trPr>
          <w:tblCellSpacing w:w="15" w:type="dxa"/>
        </w:trPr>
        <w:tc>
          <w:tcPr>
            <w:tcW w:w="0" w:type="auto"/>
            <w:vAlign w:val="center"/>
            <w:hideMark/>
          </w:tcPr>
          <w:p w14:paraId="1B02CC8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CD163</w:t>
            </w:r>
          </w:p>
        </w:tc>
        <w:tc>
          <w:tcPr>
            <w:tcW w:w="0" w:type="auto"/>
            <w:vAlign w:val="center"/>
            <w:hideMark/>
          </w:tcPr>
          <w:p w14:paraId="556C630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3A20E30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Microglial activation</w:t>
            </w:r>
          </w:p>
        </w:tc>
      </w:tr>
      <w:tr w:rsidR="00935A4C" w:rsidRPr="00800219" w14:paraId="00F48607" w14:textId="77777777">
        <w:trPr>
          <w:tblCellSpacing w:w="15" w:type="dxa"/>
        </w:trPr>
        <w:tc>
          <w:tcPr>
            <w:tcW w:w="0" w:type="auto"/>
            <w:vAlign w:val="center"/>
            <w:hideMark/>
          </w:tcPr>
          <w:p w14:paraId="4DE5230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SERPINA3</w:t>
            </w:r>
          </w:p>
        </w:tc>
        <w:tc>
          <w:tcPr>
            <w:tcW w:w="0" w:type="auto"/>
            <w:vAlign w:val="center"/>
            <w:hideMark/>
          </w:tcPr>
          <w:p w14:paraId="6A7D229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5DA43E3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Inflammatory response</w:t>
            </w:r>
          </w:p>
        </w:tc>
      </w:tr>
      <w:tr w:rsidR="00935A4C" w:rsidRPr="00800219" w14:paraId="7DBE95DF" w14:textId="77777777">
        <w:trPr>
          <w:tblCellSpacing w:w="15" w:type="dxa"/>
        </w:trPr>
        <w:tc>
          <w:tcPr>
            <w:tcW w:w="0" w:type="auto"/>
            <w:vAlign w:val="center"/>
            <w:hideMark/>
          </w:tcPr>
          <w:p w14:paraId="3FC6622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C4A</w:t>
            </w:r>
          </w:p>
        </w:tc>
        <w:tc>
          <w:tcPr>
            <w:tcW w:w="0" w:type="auto"/>
            <w:vAlign w:val="center"/>
            <w:hideMark/>
          </w:tcPr>
          <w:p w14:paraId="38B15BE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0720508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Complement cascade</w:t>
            </w:r>
          </w:p>
        </w:tc>
      </w:tr>
      <w:tr w:rsidR="00935A4C" w:rsidRPr="0085607D" w14:paraId="6EA8D594" w14:textId="77777777">
        <w:trPr>
          <w:tblCellSpacing w:w="15" w:type="dxa"/>
        </w:trPr>
        <w:tc>
          <w:tcPr>
            <w:tcW w:w="0" w:type="auto"/>
            <w:vAlign w:val="center"/>
            <w:hideMark/>
          </w:tcPr>
          <w:p w14:paraId="138880C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RBM3</w:t>
            </w:r>
          </w:p>
        </w:tc>
        <w:tc>
          <w:tcPr>
            <w:tcW w:w="0" w:type="auto"/>
            <w:vAlign w:val="center"/>
            <w:hideMark/>
          </w:tcPr>
          <w:p w14:paraId="76C01F9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4388B587"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RNA processing and stress response</w:t>
            </w:r>
          </w:p>
        </w:tc>
      </w:tr>
      <w:tr w:rsidR="00935A4C" w:rsidRPr="00800219" w14:paraId="05825084" w14:textId="77777777">
        <w:trPr>
          <w:tblCellSpacing w:w="15" w:type="dxa"/>
        </w:trPr>
        <w:tc>
          <w:tcPr>
            <w:tcW w:w="0" w:type="auto"/>
            <w:vAlign w:val="center"/>
            <w:hideMark/>
          </w:tcPr>
          <w:p w14:paraId="5E16914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CIRBP</w:t>
            </w:r>
          </w:p>
        </w:tc>
        <w:tc>
          <w:tcPr>
            <w:tcW w:w="0" w:type="auto"/>
            <w:vAlign w:val="center"/>
            <w:hideMark/>
          </w:tcPr>
          <w:p w14:paraId="22D0ADE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3AAC77F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Cellular stress response</w:t>
            </w:r>
          </w:p>
        </w:tc>
      </w:tr>
      <w:tr w:rsidR="00935A4C" w:rsidRPr="00800219" w14:paraId="48FAC09F" w14:textId="77777777" w:rsidTr="004F16C8">
        <w:trPr>
          <w:tblCellSpacing w:w="15" w:type="dxa"/>
        </w:trPr>
        <w:tc>
          <w:tcPr>
            <w:tcW w:w="0" w:type="auto"/>
            <w:tcBorders>
              <w:bottom w:val="single" w:sz="4" w:space="0" w:color="auto"/>
            </w:tcBorders>
            <w:vAlign w:val="center"/>
            <w:hideMark/>
          </w:tcPr>
          <w:p w14:paraId="7357840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MAFF</w:t>
            </w:r>
          </w:p>
        </w:tc>
        <w:tc>
          <w:tcPr>
            <w:tcW w:w="0" w:type="auto"/>
            <w:tcBorders>
              <w:bottom w:val="single" w:sz="4" w:space="0" w:color="auto"/>
            </w:tcBorders>
            <w:vAlign w:val="center"/>
            <w:hideMark/>
          </w:tcPr>
          <w:p w14:paraId="7F70396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tcBorders>
              <w:bottom w:val="single" w:sz="4" w:space="0" w:color="auto"/>
            </w:tcBorders>
            <w:vAlign w:val="center"/>
            <w:hideMark/>
          </w:tcPr>
          <w:p w14:paraId="0F58492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Oxidative stress regulation</w:t>
            </w:r>
          </w:p>
        </w:tc>
      </w:tr>
    </w:tbl>
    <w:p w14:paraId="6503668C" w14:textId="52DB47E9"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These shared genes collectively indicate dysregulation of neuronal communication, immune activation and stress-response pathways, suggesting that these biological processes represent common molecular signatures of Alzheimer's disease.</w:t>
      </w:r>
    </w:p>
    <w:p w14:paraId="30E139BA" w14:textId="7489C97B"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Overall, the GO enrichment results demonstrated that the shared genes were not randomly distributed across biological functions but instead clustered within coordinated cellular processes known to be disrupted during Alzheimer's disease progression. These findings provide further evidence that the integrated DEG set captures biologically meaningful alterations that are consistently observed across independent transcriptomic datasets.</w:t>
      </w:r>
    </w:p>
    <w:p w14:paraId="2A38FA0B"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76350BD6">
          <v:rect id="_x0000_i1036" style="width:0;height:1.5pt" o:hralign="center" o:hrstd="t" o:hr="t" fillcolor="#a0a0a0" stroked="f"/>
        </w:pict>
      </w:r>
    </w:p>
    <w:p w14:paraId="66DD537B"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lastRenderedPageBreak/>
        <w:t>3.5 KEGG Pathway Enrichment Analysis</w:t>
      </w:r>
    </w:p>
    <w:p w14:paraId="53D88D9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To further characterize the biological relevance of the shared differentially expressed genes, Kyoto Encyclopedia of Genes and Genomes (KEGG) pathway enrichment analysis was performed. While GO analysis identifies broad biological processes, KEGG enrichment provides insight into specific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that may contribute to Alzheimer's disease pathogenesis.</w:t>
      </w:r>
    </w:p>
    <w:p w14:paraId="35BBE57E"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Analysis of the 113 shared DEGs identified several significantly enriched pathways associated with neuronal communication, neurodegeneration and immune regulation. Multiple pathways involved in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inflammatory responses and intracellular signal transduction were significantly overrepresented within the shared gene set, indicating that Alzheimer's disease is associated with coordinated disruption of interconnected molecular networks rather than isolated gene expression changes.</w:t>
      </w:r>
    </w:p>
    <w:p w14:paraId="75BA2D0D" w14:textId="799C68BC"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Figure 9. KEGG pathway enrichment analysis of the shared differentially expressed genes highlighting significantly dysregulated biological pathways associated with Alzheimer's disease.</w:t>
      </w:r>
      <w:r w:rsidR="008137FA" w:rsidRPr="00800219">
        <w:rPr>
          <w:rFonts w:ascii="CMU Serif" w:hAnsi="CMU Serif" w:cs="CMU Serif"/>
          <w:noProof/>
          <w:sz w:val="24"/>
          <w:szCs w:val="24"/>
          <w:lang w:val="en-US"/>
        </w:rPr>
        <w:drawing>
          <wp:inline distT="0" distB="0" distL="0" distR="0" wp14:anchorId="41861A31" wp14:editId="702E62FE">
            <wp:extent cx="5360067" cy="4343400"/>
            <wp:effectExtent l="0" t="0" r="0" b="0"/>
            <wp:docPr id="16786721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72119" name="Picture 167867211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62499" cy="4345371"/>
                    </a:xfrm>
                    <a:prstGeom prst="rect">
                      <a:avLst/>
                    </a:prstGeom>
                  </pic:spPr>
                </pic:pic>
              </a:graphicData>
            </a:graphic>
          </wp:inline>
        </w:drawing>
      </w:r>
    </w:p>
    <w:p w14:paraId="6E83BA86"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enrichment profile demonstrated substantial agreement with the Gene Ontology analysis, with both approaches highlighting alterations affecting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immune-associated mechanisms. The consistency between GO Biological Process </w:t>
      </w:r>
      <w:r w:rsidRPr="00800219">
        <w:rPr>
          <w:rFonts w:ascii="CMU Serif" w:hAnsi="CMU Serif" w:cs="CMU Serif"/>
          <w:sz w:val="24"/>
          <w:szCs w:val="24"/>
          <w:lang w:val="en-US"/>
        </w:rPr>
        <w:lastRenderedPageBreak/>
        <w:t>and KEGG pathway analyses further supports the biological robustness of the integrated transcriptomic signature identified across the two independent datasets.</w:t>
      </w:r>
    </w:p>
    <w:p w14:paraId="4E97A01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Taken together, these enrichment analyses suggest that Alzheimer's disease involves simultaneous dysregulation of multiple molecular pathways responsible for maintaining neuronal function, synaptic communication and cellular homeostasis. The identification of these reproducible pathways provides a systems-level overview of the molecular alterations consistently observed across independent Alzheimer's disease cohorts.</w:t>
      </w:r>
    </w:p>
    <w:p w14:paraId="29E4698B"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6C140D45">
          <v:rect id="_x0000_i1037" style="width:0;height:1.5pt" o:hralign="center" o:hrstd="t" o:hr="t" fillcolor="#a0a0a0" stroked="f"/>
        </w:pict>
      </w:r>
    </w:p>
    <w:p w14:paraId="3AB1CA45"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3.6 Protein–Protein Interaction Network and Hub Gene Identification</w:t>
      </w:r>
    </w:p>
    <w:p w14:paraId="51A98B9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the functional relationships among the shared differentially expressed genes, a protein–protein interaction (PPI) network was constructed using the STRING database. The resulting interaction network consisted of 47 nodes connected by 75 interaction edges, indicating that a substantial proportion of the shared DEGs participate in coordinated molecular interactions rather than functioning independently.</w:t>
      </w:r>
    </w:p>
    <w:p w14:paraId="5A950F6D" w14:textId="4BE02D5C"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 xml:space="preserve">Figure 10. Protein–protein interaction network generated using STRING from the 113 shared differentially expressed genes. Nodes represent proteins, whereas edges indicate predicted functional associations. Highly connected nodes represent potential </w:t>
      </w:r>
      <w:r w:rsidRPr="00800219">
        <w:rPr>
          <w:rFonts w:ascii="CMU Serif" w:hAnsi="CMU Serif" w:cs="CMU Serif"/>
          <w:sz w:val="24"/>
          <w:szCs w:val="24"/>
          <w:lang w:val="en-US"/>
        </w:rPr>
        <w:lastRenderedPageBreak/>
        <w:t>hub genes involved in Alzheimer's disease pathogenesis.</w:t>
      </w:r>
      <w:r w:rsidR="008137FA" w:rsidRPr="00800219">
        <w:rPr>
          <w:rFonts w:ascii="CMU Serif" w:hAnsi="CMU Serif" w:cs="CMU Serif"/>
          <w:noProof/>
          <w:sz w:val="24"/>
          <w:szCs w:val="24"/>
          <w:lang w:val="en-US"/>
        </w:rPr>
        <w:drawing>
          <wp:inline distT="0" distB="0" distL="0" distR="0" wp14:anchorId="1C9DE50A" wp14:editId="2C4CD25A">
            <wp:extent cx="6753225" cy="6753225"/>
            <wp:effectExtent l="0" t="0" r="9525" b="9525"/>
            <wp:docPr id="501669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69103" name="Picture 50166910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753225" cy="6753225"/>
                    </a:xfrm>
                    <a:prstGeom prst="rect">
                      <a:avLst/>
                    </a:prstGeom>
                  </pic:spPr>
                </pic:pic>
              </a:graphicData>
            </a:graphic>
          </wp:inline>
        </w:drawing>
      </w:r>
    </w:p>
    <w:p w14:paraId="794DB34D" w14:textId="6BC10BE4" w:rsidR="00935A4C" w:rsidRDefault="00935A4C" w:rsidP="00E12210">
      <w:pPr>
        <w:rPr>
          <w:rFonts w:ascii="CMU Serif" w:hAnsi="CMU Serif" w:cs="CMU Serif"/>
          <w:sz w:val="24"/>
          <w:szCs w:val="24"/>
          <w:lang w:val="en-US"/>
        </w:rPr>
      </w:pPr>
      <w:r w:rsidRPr="00800219">
        <w:rPr>
          <w:rFonts w:ascii="CMU Serif" w:hAnsi="CMU Serif" w:cs="CMU Serif"/>
          <w:sz w:val="24"/>
          <w:szCs w:val="24"/>
          <w:lang w:val="en-US"/>
        </w:rPr>
        <w:t xml:space="preserve">The most significantly enriched biological processes and pathways identified from the shared differentially expressed genes are </w:t>
      </w:r>
      <w:proofErr w:type="spellStart"/>
      <w:r w:rsidRPr="00800219">
        <w:rPr>
          <w:rFonts w:ascii="CMU Serif" w:hAnsi="CMU Serif" w:cs="CMU Serif"/>
          <w:sz w:val="24"/>
          <w:szCs w:val="24"/>
          <w:lang w:val="en-US"/>
        </w:rPr>
        <w:t>summarised</w:t>
      </w:r>
      <w:proofErr w:type="spellEnd"/>
      <w:r w:rsidRPr="00800219">
        <w:rPr>
          <w:rFonts w:ascii="CMU Serif" w:hAnsi="CMU Serif" w:cs="CMU Serif"/>
          <w:sz w:val="24"/>
          <w:szCs w:val="24"/>
          <w:lang w:val="en-US"/>
        </w:rPr>
        <w:t xml:space="preserve"> in Table 4.</w:t>
      </w:r>
    </w:p>
    <w:p w14:paraId="1D490F9A" w14:textId="77777777" w:rsidR="00800219" w:rsidRPr="00800219" w:rsidRDefault="00800219" w:rsidP="00E12210">
      <w:pPr>
        <w:rPr>
          <w:rFonts w:ascii="CMU Serif" w:hAnsi="CMU Serif" w:cs="CMU Serif"/>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3774"/>
        <w:gridCol w:w="3748"/>
      </w:tblGrid>
      <w:tr w:rsidR="00935A4C" w:rsidRPr="00800219" w14:paraId="165EE25D" w14:textId="77777777" w:rsidTr="004F16C8">
        <w:trPr>
          <w:tblHeader/>
          <w:tblCellSpacing w:w="15" w:type="dxa"/>
        </w:trPr>
        <w:tc>
          <w:tcPr>
            <w:tcW w:w="0" w:type="auto"/>
            <w:tcBorders>
              <w:top w:val="single" w:sz="4" w:space="0" w:color="auto"/>
              <w:bottom w:val="single" w:sz="4" w:space="0" w:color="auto"/>
            </w:tcBorders>
            <w:vAlign w:val="center"/>
            <w:hideMark/>
          </w:tcPr>
          <w:p w14:paraId="5B6FD43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lastRenderedPageBreak/>
              <w:t>Database</w:t>
            </w:r>
          </w:p>
        </w:tc>
        <w:tc>
          <w:tcPr>
            <w:tcW w:w="0" w:type="auto"/>
            <w:tcBorders>
              <w:top w:val="single" w:sz="4" w:space="0" w:color="auto"/>
              <w:bottom w:val="single" w:sz="4" w:space="0" w:color="auto"/>
            </w:tcBorders>
            <w:vAlign w:val="center"/>
            <w:hideMark/>
          </w:tcPr>
          <w:p w14:paraId="6C2CB81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Representative Enriched Category</w:t>
            </w:r>
          </w:p>
        </w:tc>
        <w:tc>
          <w:tcPr>
            <w:tcW w:w="0" w:type="auto"/>
            <w:tcBorders>
              <w:top w:val="single" w:sz="4" w:space="0" w:color="auto"/>
              <w:bottom w:val="single" w:sz="4" w:space="0" w:color="auto"/>
            </w:tcBorders>
            <w:vAlign w:val="center"/>
            <w:hideMark/>
          </w:tcPr>
          <w:p w14:paraId="0A9F25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Biological Interpretation</w:t>
            </w:r>
          </w:p>
        </w:tc>
      </w:tr>
      <w:tr w:rsidR="00935A4C" w:rsidRPr="00800219" w14:paraId="48AD298A" w14:textId="77777777">
        <w:trPr>
          <w:tblCellSpacing w:w="15" w:type="dxa"/>
        </w:trPr>
        <w:tc>
          <w:tcPr>
            <w:tcW w:w="0" w:type="auto"/>
            <w:vAlign w:val="center"/>
            <w:hideMark/>
          </w:tcPr>
          <w:p w14:paraId="511EB8B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22A02CE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signalling</w:t>
            </w:r>
          </w:p>
        </w:tc>
        <w:tc>
          <w:tcPr>
            <w:tcW w:w="0" w:type="auto"/>
            <w:vAlign w:val="center"/>
            <w:hideMark/>
          </w:tcPr>
          <w:p w14:paraId="75E7622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Impaired neuronal communication</w:t>
            </w:r>
          </w:p>
        </w:tc>
      </w:tr>
      <w:tr w:rsidR="00935A4C" w:rsidRPr="00800219" w14:paraId="7AED7CDE" w14:textId="77777777">
        <w:trPr>
          <w:tblCellSpacing w:w="15" w:type="dxa"/>
        </w:trPr>
        <w:tc>
          <w:tcPr>
            <w:tcW w:w="0" w:type="auto"/>
            <w:vAlign w:val="center"/>
            <w:hideMark/>
          </w:tcPr>
          <w:p w14:paraId="361F75F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6FFD4E9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Regulation of neurotransmitter transport</w:t>
            </w:r>
          </w:p>
        </w:tc>
        <w:tc>
          <w:tcPr>
            <w:tcW w:w="0" w:type="auto"/>
            <w:vAlign w:val="center"/>
            <w:hideMark/>
          </w:tcPr>
          <w:p w14:paraId="63BD944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dysfunction</w:t>
            </w:r>
          </w:p>
        </w:tc>
      </w:tr>
      <w:tr w:rsidR="00935A4C" w:rsidRPr="00800219" w14:paraId="109EDAFA" w14:textId="77777777">
        <w:trPr>
          <w:tblCellSpacing w:w="15" w:type="dxa"/>
        </w:trPr>
        <w:tc>
          <w:tcPr>
            <w:tcW w:w="0" w:type="auto"/>
            <w:vAlign w:val="center"/>
            <w:hideMark/>
          </w:tcPr>
          <w:p w14:paraId="03DC492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34EE7A3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Postsynaptic membrane</w:t>
            </w:r>
          </w:p>
        </w:tc>
        <w:tc>
          <w:tcPr>
            <w:tcW w:w="0" w:type="auto"/>
            <w:vAlign w:val="center"/>
            <w:hideMark/>
          </w:tcPr>
          <w:p w14:paraId="3BD25F4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Altered synaptic architecture</w:t>
            </w:r>
          </w:p>
        </w:tc>
      </w:tr>
      <w:tr w:rsidR="00935A4C" w:rsidRPr="00800219" w14:paraId="4BA78235" w14:textId="77777777">
        <w:trPr>
          <w:tblCellSpacing w:w="15" w:type="dxa"/>
        </w:trPr>
        <w:tc>
          <w:tcPr>
            <w:tcW w:w="0" w:type="auto"/>
            <w:vAlign w:val="center"/>
            <w:hideMark/>
          </w:tcPr>
          <w:p w14:paraId="39435FA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68B9FB7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ion binding</w:t>
            </w:r>
          </w:p>
        </w:tc>
        <w:tc>
          <w:tcPr>
            <w:tcW w:w="0" w:type="auto"/>
            <w:vAlign w:val="center"/>
            <w:hideMark/>
          </w:tcPr>
          <w:p w14:paraId="41F0BDA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Disturbed neuronal calcium homeostasis</w:t>
            </w:r>
          </w:p>
        </w:tc>
      </w:tr>
      <w:tr w:rsidR="00935A4C" w:rsidRPr="00800219" w14:paraId="59B6790D" w14:textId="77777777">
        <w:trPr>
          <w:tblCellSpacing w:w="15" w:type="dxa"/>
        </w:trPr>
        <w:tc>
          <w:tcPr>
            <w:tcW w:w="0" w:type="auto"/>
            <w:vAlign w:val="center"/>
            <w:hideMark/>
          </w:tcPr>
          <w:p w14:paraId="743B185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vAlign w:val="center"/>
            <w:hideMark/>
          </w:tcPr>
          <w:p w14:paraId="1A21FA2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Neuroactive ligand–receptor interaction</w:t>
            </w:r>
          </w:p>
        </w:tc>
        <w:tc>
          <w:tcPr>
            <w:tcW w:w="0" w:type="auto"/>
            <w:vAlign w:val="center"/>
            <w:hideMark/>
          </w:tcPr>
          <w:p w14:paraId="248692B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Impaired neurotransmission</w:t>
            </w:r>
          </w:p>
        </w:tc>
      </w:tr>
      <w:tr w:rsidR="00935A4C" w:rsidRPr="00800219" w14:paraId="207CDC85" w14:textId="77777777">
        <w:trPr>
          <w:tblCellSpacing w:w="15" w:type="dxa"/>
        </w:trPr>
        <w:tc>
          <w:tcPr>
            <w:tcW w:w="0" w:type="auto"/>
            <w:vAlign w:val="center"/>
            <w:hideMark/>
          </w:tcPr>
          <w:p w14:paraId="484EBF0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vAlign w:val="center"/>
            <w:hideMark/>
          </w:tcPr>
          <w:p w14:paraId="1002C76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signalling pathway</w:t>
            </w:r>
          </w:p>
        </w:tc>
        <w:tc>
          <w:tcPr>
            <w:tcW w:w="0" w:type="auto"/>
            <w:vAlign w:val="center"/>
            <w:hideMark/>
          </w:tcPr>
          <w:p w14:paraId="55A7C6A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Dysregulated intracellular signalling</w:t>
            </w:r>
          </w:p>
        </w:tc>
      </w:tr>
      <w:tr w:rsidR="00935A4C" w:rsidRPr="00800219" w14:paraId="760C86D4" w14:textId="77777777" w:rsidTr="004F16C8">
        <w:trPr>
          <w:tblCellSpacing w:w="15" w:type="dxa"/>
        </w:trPr>
        <w:tc>
          <w:tcPr>
            <w:tcW w:w="0" w:type="auto"/>
            <w:tcBorders>
              <w:bottom w:val="single" w:sz="4" w:space="0" w:color="auto"/>
            </w:tcBorders>
            <w:vAlign w:val="center"/>
            <w:hideMark/>
          </w:tcPr>
          <w:p w14:paraId="7124AAB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tcBorders>
              <w:bottom w:val="single" w:sz="4" w:space="0" w:color="auto"/>
            </w:tcBorders>
            <w:vAlign w:val="center"/>
            <w:hideMark/>
          </w:tcPr>
          <w:p w14:paraId="26B6048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cAMP signalling pathway</w:t>
            </w:r>
          </w:p>
        </w:tc>
        <w:tc>
          <w:tcPr>
            <w:tcW w:w="0" w:type="auto"/>
            <w:tcBorders>
              <w:bottom w:val="single" w:sz="4" w:space="0" w:color="auto"/>
            </w:tcBorders>
            <w:vAlign w:val="center"/>
            <w:hideMark/>
          </w:tcPr>
          <w:p w14:paraId="2FD76A0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Altered neuronal signal transduction</w:t>
            </w:r>
          </w:p>
        </w:tc>
      </w:tr>
    </w:tbl>
    <w:p w14:paraId="1124E35A" w14:textId="6F40F343"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 xml:space="preserve">Collectively, these enrichment analyses indicate that the shared differentially expressed genes predominantly participate in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synaptic function and inflammatory mechanisms, supporting their potential contribution to Alzheimer's disease pathogenesis.</w:t>
      </w:r>
    </w:p>
    <w:p w14:paraId="1191A3C0" w14:textId="7E8617D8"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Visual inspection of the interaction network revealed several highly connected clusters, suggesting that subsets of the shared genes participate in common biological pathways. These interaction modules primarily involved proteins associated with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inflammatory regulation and cellular stress responses, consistent with the enrichment analyses described above.</w:t>
      </w:r>
    </w:p>
    <w:p w14:paraId="1B43A656"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To identify potential key molecular regulators within the network, node degree centrality was calculated for every protein. Genes exhibiting the highest number of interactions were classified as hub genes because of their central positions within the interaction network. Highly connected proteins are frequently considered biologically important, as they often coordinate communication between multiple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and contribute disproportionately to network stability.</w:t>
      </w:r>
    </w:p>
    <w:p w14:paraId="0D5103D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hub gene analysis identified several proteins with markedly higher connectivity than the remainder of the network, suggesting that these genes may represent central regulators of Alzheimer's disease-associated molecular dysfunction.</w:t>
      </w:r>
    </w:p>
    <w:p w14:paraId="125F53A5" w14:textId="323C1DB1"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lastRenderedPageBreak/>
        <w:t>Network topology analysis identified several highly connected hub genes based on degree centrality, including SST, PVALB, GAD2, GAD1, VIP, CRH and BDNF, suggesting that these genes may occupy central regulatory positions within the Alzheimer's disease protein interaction network.</w:t>
      </w:r>
    </w:p>
    <w:p w14:paraId="780C22D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11. Hub genes ranked according to degree centrality within the protein–protein interaction network.</w:t>
      </w:r>
    </w:p>
    <w:p w14:paraId="50B298AE" w14:textId="5FDA7DFC"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5C201B5D" wp14:editId="55D5C076">
            <wp:extent cx="5731510" cy="3820795"/>
            <wp:effectExtent l="0" t="0" r="2540" b="8255"/>
            <wp:docPr id="336181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8181" name="Picture 3361818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04A1A1F9"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identification of highly connected hub genes complements the differential expression and enrichment analyses by highlighting genes that are not only consistently dysregulated across independent datasets but also occupy central positions within the underlying molecular interaction network. Consequently, these hub genes represent promising candidates for future functional studies investigating Alzheimer's disease mechanisms and potential therapeutic targets.</w:t>
      </w:r>
    </w:p>
    <w:p w14:paraId="523890B8"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34F4D52F">
          <v:rect id="_x0000_i1038" style="width:0;height:1.5pt" o:hralign="center" o:hrstd="t" o:hr="t" fillcolor="#a0a0a0" stroked="f"/>
        </w:pict>
      </w:r>
    </w:p>
    <w:p w14:paraId="5F14D0D6"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4. Discussion</w:t>
      </w:r>
    </w:p>
    <w:p w14:paraId="7805CE70"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The present study integrated transcriptomic data from two independent Alzheimer's disease cohorts to identify robust differentially expressed genes and investigate the biological pathways and molecular interaction networks associated with disease pathology. </w:t>
      </w:r>
      <w:proofErr w:type="spellStart"/>
      <w:r w:rsidRPr="00800219">
        <w:rPr>
          <w:rFonts w:ascii="CMU Serif" w:hAnsi="CMU Serif" w:cs="CMU Serif"/>
          <w:sz w:val="24"/>
          <w:szCs w:val="24"/>
          <w:lang w:val="en-US"/>
        </w:rPr>
        <w:t>Analysing</w:t>
      </w:r>
      <w:proofErr w:type="spellEnd"/>
      <w:r w:rsidRPr="00800219">
        <w:rPr>
          <w:rFonts w:ascii="CMU Serif" w:hAnsi="CMU Serif" w:cs="CMU Serif"/>
          <w:sz w:val="24"/>
          <w:szCs w:val="24"/>
          <w:lang w:val="en-US"/>
        </w:rPr>
        <w:t xml:space="preserve"> the datasets independently before performing an integrated comparison reduced dataset-specific variability and enabled the identification of molecular changes that were consistently associated with Alzheimer's disease.</w:t>
      </w:r>
    </w:p>
    <w:p w14:paraId="11CD996C"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lastRenderedPageBreak/>
        <w:t>Differential expression analysis identified 914 significant DEGs in GSE122063 and 320 significant DEGs in GSE33000, with 113 genes consistently dysregulated across both datasets. Although the number of significant genes differed considerably between cohorts, the overlap of shared DEGs suggests that these represent reproducible molecular alterations rather than dataset-specific effects. This integrated approach therefore increases confidence in the biological relevance of the identified genes.</w:t>
      </w:r>
    </w:p>
    <w:p w14:paraId="17838C18"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Several of the shared genes have previously been associated with neuronal development, synaptic transmission and neurodegeneration. Downregulated genes, including </w:t>
      </w:r>
      <w:r w:rsidRPr="00800219">
        <w:rPr>
          <w:rFonts w:ascii="CMU Serif" w:hAnsi="CMU Serif" w:cs="CMU Serif"/>
          <w:i/>
          <w:iCs/>
          <w:sz w:val="24"/>
          <w:szCs w:val="24"/>
          <w:lang w:val="en-US"/>
        </w:rPr>
        <w:t>BDNF</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VGF</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CRH</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CAMK4</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NEUROD6</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SVOP</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ITPKB</w:t>
      </w:r>
      <w:r w:rsidRPr="00800219">
        <w:rPr>
          <w:rFonts w:ascii="CMU Serif" w:hAnsi="CMU Serif" w:cs="CMU Serif"/>
          <w:sz w:val="24"/>
          <w:szCs w:val="24"/>
          <w:lang w:val="en-US"/>
        </w:rPr>
        <w:t xml:space="preserve">, are primarily involved in synaptic plasticity, neuronal differentiation and intracellular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Reduced expression of these genes is consistent with the progressive synaptic dysfunction and neuronal loss that </w:t>
      </w:r>
      <w:proofErr w:type="spellStart"/>
      <w:r w:rsidRPr="00800219">
        <w:rPr>
          <w:rFonts w:ascii="CMU Serif" w:hAnsi="CMU Serif" w:cs="CMU Serif"/>
          <w:sz w:val="24"/>
          <w:szCs w:val="24"/>
          <w:lang w:val="en-US"/>
        </w:rPr>
        <w:t>characterise</w:t>
      </w:r>
      <w:proofErr w:type="spellEnd"/>
      <w:r w:rsidRPr="00800219">
        <w:rPr>
          <w:rFonts w:ascii="CMU Serif" w:hAnsi="CMU Serif" w:cs="CMU Serif"/>
          <w:sz w:val="24"/>
          <w:szCs w:val="24"/>
          <w:lang w:val="en-US"/>
        </w:rPr>
        <w:t xml:space="preserve"> Alzheimer's disease. In contrast, upregulated genes such as </w:t>
      </w:r>
      <w:r w:rsidRPr="00800219">
        <w:rPr>
          <w:rFonts w:ascii="CMU Serif" w:hAnsi="CMU Serif" w:cs="CMU Serif"/>
          <w:i/>
          <w:iCs/>
          <w:sz w:val="24"/>
          <w:szCs w:val="24"/>
          <w:lang w:val="en-US"/>
        </w:rPr>
        <w:t>CD163</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C1QC</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SERPINA3</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C4A</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VSIG4</w:t>
      </w:r>
      <w:r w:rsidRPr="00800219">
        <w:rPr>
          <w:rFonts w:ascii="CMU Serif" w:hAnsi="CMU Serif" w:cs="CMU Serif"/>
          <w:sz w:val="24"/>
          <w:szCs w:val="24"/>
          <w:lang w:val="en-US"/>
        </w:rPr>
        <w:t xml:space="preserve"> are associated with immune activation, complement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inflammatory responses, supporting increasing evidence that chronic neuroinflammation contributes substantially to disease progression.</w:t>
      </w:r>
    </w:p>
    <w:p w14:paraId="2CA22F9D"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Functional enrichment analyses reinforced these observations. Gene Ontology analysis demonstrated significant enrichment of biological processes related to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neurotransmitter transport, postsynaptic membrane </w:t>
      </w:r>
      <w:proofErr w:type="spellStart"/>
      <w:r w:rsidRPr="00800219">
        <w:rPr>
          <w:rFonts w:ascii="CMU Serif" w:hAnsi="CMU Serif" w:cs="CMU Serif"/>
          <w:sz w:val="24"/>
          <w:szCs w:val="24"/>
          <w:lang w:val="en-US"/>
        </w:rPr>
        <w:t>organisation</w:t>
      </w:r>
      <w:proofErr w:type="spellEnd"/>
      <w:r w:rsidRPr="00800219">
        <w:rPr>
          <w:rFonts w:ascii="CMU Serif" w:hAnsi="CMU Serif" w:cs="CMU Serif"/>
          <w:sz w:val="24"/>
          <w:szCs w:val="24"/>
          <w:lang w:val="en-US"/>
        </w:rPr>
        <w:t xml:space="preserve"> and calcium ion binding, indicating widespread disruption of neuronal communication. Similarly, KEGG pathway analysis identified enrichment of neuroactive ligand–receptor interaction,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cAMP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all of which play essential roles in neuronal excitability and synaptic transmission. Dysregulation of these pathways has been widely associated with cognitive decline and neuronal dysfunction in Alzheimer's disease.</w:t>
      </w:r>
    </w:p>
    <w:p w14:paraId="65096B08"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Protein–protein interaction analysis provided additional biological insight by identifying several highly connected hub genes, including </w:t>
      </w:r>
      <w:r w:rsidRPr="00800219">
        <w:rPr>
          <w:rFonts w:ascii="CMU Serif" w:hAnsi="CMU Serif" w:cs="CMU Serif"/>
          <w:i/>
          <w:iCs/>
          <w:sz w:val="24"/>
          <w:szCs w:val="24"/>
          <w:lang w:val="en-US"/>
        </w:rPr>
        <w:t>SST</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PVALB</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GAD1</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GAD2</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VIP</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SNAP25</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CRH</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BDNF</w:t>
      </w:r>
      <w:r w:rsidRPr="00800219">
        <w:rPr>
          <w:rFonts w:ascii="CMU Serif" w:hAnsi="CMU Serif" w:cs="CMU Serif"/>
          <w:sz w:val="24"/>
          <w:szCs w:val="24"/>
          <w:lang w:val="en-US"/>
        </w:rPr>
        <w:t>. Many of these genes are markers of inhibitory interneurons or regulators of neurotransmitter release, suggesting that disruption of inhibitory neuronal networks may represent a central feature of Alzheimer's disease pathology. Their high degree centrality indicates that alterations in these genes may influence multiple downstream molecular pathways simultaneously.</w:t>
      </w:r>
    </w:p>
    <w:p w14:paraId="355BF94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Overall, the integrated analyses indicate that Alzheimer's disease is </w:t>
      </w:r>
      <w:proofErr w:type="spellStart"/>
      <w:r w:rsidRPr="00800219">
        <w:rPr>
          <w:rFonts w:ascii="CMU Serif" w:hAnsi="CMU Serif" w:cs="CMU Serif"/>
          <w:sz w:val="24"/>
          <w:szCs w:val="24"/>
          <w:lang w:val="en-US"/>
        </w:rPr>
        <w:t>characterised</w:t>
      </w:r>
      <w:proofErr w:type="spellEnd"/>
      <w:r w:rsidRPr="00800219">
        <w:rPr>
          <w:rFonts w:ascii="CMU Serif" w:hAnsi="CMU Serif" w:cs="CMU Serif"/>
          <w:sz w:val="24"/>
          <w:szCs w:val="24"/>
          <w:lang w:val="en-US"/>
        </w:rPr>
        <w:t xml:space="preserve"> by coordinated dysregulation of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synaptic </w:t>
      </w:r>
      <w:proofErr w:type="spellStart"/>
      <w:r w:rsidRPr="00800219">
        <w:rPr>
          <w:rFonts w:ascii="CMU Serif" w:hAnsi="CMU Serif" w:cs="CMU Serif"/>
          <w:sz w:val="24"/>
          <w:szCs w:val="24"/>
          <w:lang w:val="en-US"/>
        </w:rPr>
        <w:t>organisation</w:t>
      </w:r>
      <w:proofErr w:type="spellEnd"/>
      <w:r w:rsidRPr="00800219">
        <w:rPr>
          <w:rFonts w:ascii="CMU Serif" w:hAnsi="CMU Serif" w:cs="CMU Serif"/>
          <w:sz w:val="24"/>
          <w:szCs w:val="24"/>
          <w:lang w:val="en-US"/>
        </w:rPr>
        <w:t>, calcium homeostasis and immune activation rather than isolated molecular abnormalities. The convergence of independent datasets strengthens confidence that these biological processes represent reproducible transcriptomic signatures of Alzheimer's disease.</w:t>
      </w:r>
    </w:p>
    <w:p w14:paraId="247818A7"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lastRenderedPageBreak/>
        <w:t>Although the present study is computational in nature, the identification of reproducible shared genes, enriched pathways and highly connected hub genes provides valuable candidates for future investigation. Experimental validation using RNA sequencing, quantitative PCR and functional cellular models will be necessary to determine whether these molecular signatures may serve as clinically useful biomarkers or therapeutic targets.</w:t>
      </w:r>
    </w:p>
    <w:p w14:paraId="527DE438"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2FA33CEC">
          <v:rect id="_x0000_i1039" style="width:0;height:1.5pt" o:hralign="center" o:hrstd="t" o:hr="t" fillcolor="#a0a0a0" stroked="f"/>
        </w:pict>
      </w:r>
    </w:p>
    <w:p w14:paraId="05D0E35F"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5. Conclusion</w:t>
      </w:r>
    </w:p>
    <w:p w14:paraId="4D69D673" w14:textId="29CA3E49" w:rsidR="00E32D0B" w:rsidRPr="00800219" w:rsidRDefault="00293445" w:rsidP="00E32D0B">
      <w:pPr>
        <w:rPr>
          <w:rFonts w:ascii="CMU Serif" w:hAnsi="CMU Serif" w:cs="CMU Serif"/>
          <w:sz w:val="24"/>
          <w:szCs w:val="24"/>
          <w:lang w:val="en-US"/>
        </w:rPr>
      </w:pPr>
      <w:r w:rsidRPr="00800219">
        <w:rPr>
          <w:rFonts w:ascii="CMU Serif" w:hAnsi="CMU Serif" w:cs="CMU Serif"/>
          <w:sz w:val="24"/>
          <w:szCs w:val="24"/>
          <w:lang w:val="en-US"/>
        </w:rPr>
        <w:t xml:space="preserve">In conclusion, this study identified reproducible transcriptomic alterations associated with Alzheimer's disease through the integrated analysis of two independent GEO datasets. Functional enrichment and protein interaction analyses highlighted disrupted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synaptic function and immune-related pathways, while network analysis identified several highly connected hub genes that may contribute to disease progression. These findings provide additional insight into the molecular mechanisms of Alzheimer's disease and may support future biomarker discovery and therapeutic </w:t>
      </w:r>
      <w:proofErr w:type="gramStart"/>
      <w:r w:rsidRPr="00800219">
        <w:rPr>
          <w:rFonts w:ascii="CMU Serif" w:hAnsi="CMU Serif" w:cs="CMU Serif"/>
          <w:sz w:val="24"/>
          <w:szCs w:val="24"/>
          <w:lang w:val="en-US"/>
        </w:rPr>
        <w:t>investigations.</w:t>
      </w:r>
      <w:r w:rsidR="00F61F35" w:rsidRPr="00800219">
        <w:rPr>
          <w:rFonts w:ascii="CMU Serif" w:hAnsi="CMU Serif" w:cs="CMU Serif"/>
          <w:sz w:val="24"/>
          <w:szCs w:val="24"/>
          <w:lang w:val="en-US"/>
        </w:rPr>
        <w:t>.</w:t>
      </w:r>
      <w:proofErr w:type="gramEnd"/>
      <w:r w:rsidR="00000000">
        <w:rPr>
          <w:rFonts w:ascii="CMU Serif" w:hAnsi="CMU Serif" w:cs="CMU Serif"/>
          <w:sz w:val="24"/>
          <w:szCs w:val="24"/>
        </w:rPr>
        <w:pict w14:anchorId="2E348BA2">
          <v:rect id="_x0000_i1040" style="width:0;height:1.5pt" o:hralign="center" o:hrstd="t" o:hr="t" fillcolor="#a0a0a0" stroked="f"/>
        </w:pict>
      </w:r>
    </w:p>
    <w:p w14:paraId="7054C83A" w14:textId="0DC041FB" w:rsidR="00E32D0B" w:rsidRDefault="009B3CA3" w:rsidP="00E32D0B">
      <w:pPr>
        <w:rPr>
          <w:rFonts w:ascii="CMU Serif" w:hAnsi="CMU Serif" w:cs="CMU Serif"/>
          <w:b/>
          <w:bCs/>
          <w:sz w:val="24"/>
          <w:szCs w:val="24"/>
          <w:lang w:val="en-US"/>
        </w:rPr>
      </w:pPr>
      <w:r w:rsidRPr="004F16C8">
        <w:rPr>
          <w:rFonts w:ascii="CMU Serif" w:hAnsi="CMU Serif" w:cs="CMU Serif"/>
          <w:b/>
          <w:bCs/>
          <w:sz w:val="24"/>
          <w:szCs w:val="24"/>
          <w:lang w:val="en-US"/>
        </w:rPr>
        <w:t xml:space="preserve">6. </w:t>
      </w:r>
      <w:r w:rsidR="00E32D0B" w:rsidRPr="00800219">
        <w:rPr>
          <w:rFonts w:ascii="CMU Serif" w:hAnsi="CMU Serif" w:cs="CMU Serif"/>
          <w:b/>
          <w:bCs/>
          <w:sz w:val="24"/>
          <w:szCs w:val="24"/>
          <w:lang w:val="en-US"/>
        </w:rPr>
        <w:t>References</w:t>
      </w:r>
    </w:p>
    <w:p w14:paraId="1ADB965B" w14:textId="77D8E50A" w:rsidR="00800219" w:rsidRPr="00800219" w:rsidRDefault="00800219" w:rsidP="00800219">
      <w:pPr>
        <w:rPr>
          <w:rFonts w:ascii="CMU Serif" w:hAnsi="CMU Serif" w:cs="CMU Serif"/>
          <w:sz w:val="24"/>
          <w:szCs w:val="24"/>
          <w:lang w:val="en-US"/>
        </w:rPr>
      </w:pPr>
      <w:r w:rsidRPr="00800219">
        <w:rPr>
          <w:rFonts w:ascii="CMU Serif" w:hAnsi="CMU Serif" w:cs="CMU Serif"/>
          <w:sz w:val="24"/>
          <w:szCs w:val="24"/>
          <w:lang w:val="en-US"/>
        </w:rPr>
        <w:t xml:space="preserve">The transcriptomic datasets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in this study are publicly available from the National Center for Biotechnology Information (NCBI) Gene Expression Omnibus (GEO) under accession numbers GSE122063 and GSE33000.</w:t>
      </w:r>
    </w:p>
    <w:p w14:paraId="7523F02E" w14:textId="77777777" w:rsidR="00800219" w:rsidRPr="00800219" w:rsidRDefault="00800219" w:rsidP="00800219">
      <w:pPr>
        <w:rPr>
          <w:rFonts w:ascii="CMU Serif" w:hAnsi="CMU Serif" w:cs="CMU Serif"/>
          <w:sz w:val="24"/>
          <w:szCs w:val="24"/>
          <w:lang w:val="en-US"/>
        </w:rPr>
      </w:pPr>
      <w:r w:rsidRPr="00800219">
        <w:rPr>
          <w:rFonts w:ascii="CMU Serif" w:hAnsi="CMU Serif" w:cs="CMU Serif"/>
          <w:sz w:val="24"/>
          <w:szCs w:val="24"/>
          <w:lang w:val="en-US"/>
        </w:rPr>
        <w:t>All analysis scripts, processed datasets, figures and supplementary material are publicly available at:</w:t>
      </w:r>
    </w:p>
    <w:p w14:paraId="15EAE696" w14:textId="42D49E23" w:rsidR="00D70B0A" w:rsidRDefault="004F16C8" w:rsidP="00800219">
      <w:pPr>
        <w:rPr>
          <w:lang w:val="en-US"/>
        </w:rPr>
      </w:pPr>
      <w:hyperlink r:id="rId18" w:history="1">
        <w:r w:rsidRPr="004F16C8">
          <w:rPr>
            <w:rStyle w:val="Hyperlink"/>
            <w:rFonts w:ascii="CMU Serif" w:hAnsi="CMU Serif" w:cs="CMU Serif"/>
            <w:sz w:val="24"/>
            <w:szCs w:val="24"/>
            <w:lang w:val="en-US"/>
          </w:rPr>
          <w:t>https://github.com/ritaell/alzheimers-transcriptomic-analysis</w:t>
        </w:r>
      </w:hyperlink>
    </w:p>
    <w:p w14:paraId="545D2B73" w14:textId="09825521" w:rsidR="00401AC6" w:rsidRPr="00401AC6" w:rsidRDefault="00401AC6" w:rsidP="00800219">
      <w:pPr>
        <w:rPr>
          <w:rFonts w:ascii="CMU Serif" w:hAnsi="CMU Serif" w:cs="CMU Serif"/>
          <w:sz w:val="24"/>
          <w:szCs w:val="24"/>
          <w:lang w:val="en-US"/>
        </w:rPr>
      </w:pPr>
      <w:hyperlink r:id="rId19" w:history="1">
        <w:r w:rsidRPr="006075F9">
          <w:rPr>
            <w:rStyle w:val="Hyperlink"/>
            <w:rFonts w:ascii="CMU Serif" w:hAnsi="CMU Serif" w:cs="CMU Serif"/>
            <w:sz w:val="24"/>
            <w:szCs w:val="24"/>
            <w:lang w:val="en-US"/>
          </w:rPr>
          <w:t> DOI: 10.5281/zenodo.21198586</w:t>
        </w:r>
      </w:hyperlink>
    </w:p>
    <w:p w14:paraId="7F9239B9"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 Ashburner, M., Ball, C. A., Blake, J. A., Botstein, D., Butler, H., Cherry, J. M.,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(2000). Gene ontology: Tool for the unification of biology. </w:t>
      </w:r>
      <w:r w:rsidRPr="00800219">
        <w:rPr>
          <w:rFonts w:ascii="CMU Serif" w:hAnsi="CMU Serif" w:cs="CMU Serif"/>
          <w:i/>
          <w:iCs/>
          <w:sz w:val="24"/>
          <w:szCs w:val="24"/>
          <w:lang w:val="en-US"/>
        </w:rPr>
        <w:t>Nature Genetics</w:t>
      </w:r>
      <w:r w:rsidRPr="00800219">
        <w:rPr>
          <w:rFonts w:ascii="CMU Serif" w:hAnsi="CMU Serif" w:cs="CMU Serif"/>
          <w:sz w:val="24"/>
          <w:szCs w:val="24"/>
          <w:lang w:val="en-US"/>
        </w:rPr>
        <w:t xml:space="preserve">, 25(1), 25–29. </w:t>
      </w:r>
      <w:hyperlink r:id="rId20" w:history="1">
        <w:r w:rsidRPr="00800219">
          <w:rPr>
            <w:rStyle w:val="Hyperlink"/>
            <w:rFonts w:ascii="CMU Serif" w:hAnsi="CMU Serif" w:cs="CMU Serif"/>
            <w:sz w:val="24"/>
            <w:szCs w:val="24"/>
            <w:lang w:val="en-US"/>
          </w:rPr>
          <w:t>https://doi.org/10.1038/75556</w:t>
        </w:r>
      </w:hyperlink>
    </w:p>
    <w:p w14:paraId="27BD7AB3"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[2] Benjamini, Y., &amp; Hochberg, Y. (1995). Controlling the false discovery rate: A practical and powerful approach to multiple testing. </w:t>
      </w:r>
      <w:r w:rsidRPr="00800219">
        <w:rPr>
          <w:rFonts w:ascii="CMU Serif" w:hAnsi="CMU Serif" w:cs="CMU Serif"/>
          <w:i/>
          <w:iCs/>
          <w:sz w:val="24"/>
          <w:szCs w:val="24"/>
          <w:lang w:val="en-US"/>
        </w:rPr>
        <w:t>Journal of the Royal Statistical Society: Series B</w:t>
      </w:r>
      <w:r w:rsidRPr="00800219">
        <w:rPr>
          <w:rFonts w:ascii="CMU Serif" w:hAnsi="CMU Serif" w:cs="CMU Serif"/>
          <w:sz w:val="24"/>
          <w:szCs w:val="24"/>
          <w:lang w:val="en-US"/>
        </w:rPr>
        <w:t xml:space="preserve">, 57(1), 289–300. </w:t>
      </w:r>
      <w:hyperlink r:id="rId21" w:history="1">
        <w:r w:rsidRPr="00800219">
          <w:rPr>
            <w:rStyle w:val="Hyperlink"/>
            <w:rFonts w:ascii="CMU Serif" w:hAnsi="CMU Serif" w:cs="CMU Serif"/>
            <w:sz w:val="24"/>
            <w:szCs w:val="24"/>
            <w:lang w:val="en-US"/>
          </w:rPr>
          <w:t>https://www.jstor.org/stable/2346101</w:t>
        </w:r>
      </w:hyperlink>
    </w:p>
    <w:p w14:paraId="2B18EEAF"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[3] Chen, E. Y., Tan, C. M., Kou, Y., Duan, Q., Wang, Z., Meirelles, G. V.,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(2013). </w:t>
      </w:r>
      <w:proofErr w:type="spellStart"/>
      <w:r w:rsidRPr="00800219">
        <w:rPr>
          <w:rFonts w:ascii="CMU Serif" w:hAnsi="CMU Serif" w:cs="CMU Serif"/>
          <w:sz w:val="24"/>
          <w:szCs w:val="24"/>
          <w:lang w:val="en-US"/>
        </w:rPr>
        <w:t>Enrichr</w:t>
      </w:r>
      <w:proofErr w:type="spellEnd"/>
      <w:r w:rsidRPr="00800219">
        <w:rPr>
          <w:rFonts w:ascii="CMU Serif" w:hAnsi="CMU Serif" w:cs="CMU Serif"/>
          <w:sz w:val="24"/>
          <w:szCs w:val="24"/>
          <w:lang w:val="en-US"/>
        </w:rPr>
        <w:t xml:space="preserve">: Interactive and collaborative HTML5 gene list enrichment analysis tool. </w:t>
      </w:r>
      <w:r w:rsidRPr="00800219">
        <w:rPr>
          <w:rFonts w:ascii="CMU Serif" w:hAnsi="CMU Serif" w:cs="CMU Serif"/>
          <w:i/>
          <w:iCs/>
          <w:sz w:val="24"/>
          <w:szCs w:val="24"/>
          <w:lang w:val="en-US"/>
        </w:rPr>
        <w:t>BMC Bioinformatics</w:t>
      </w:r>
      <w:r w:rsidRPr="00800219">
        <w:rPr>
          <w:rFonts w:ascii="CMU Serif" w:hAnsi="CMU Serif" w:cs="CMU Serif"/>
          <w:sz w:val="24"/>
          <w:szCs w:val="24"/>
          <w:lang w:val="en-US"/>
        </w:rPr>
        <w:t xml:space="preserve">, 14, 128. </w:t>
      </w:r>
      <w:hyperlink r:id="rId22" w:history="1">
        <w:r w:rsidRPr="00800219">
          <w:rPr>
            <w:rStyle w:val="Hyperlink"/>
            <w:rFonts w:ascii="CMU Serif" w:hAnsi="CMU Serif" w:cs="CMU Serif"/>
            <w:sz w:val="24"/>
            <w:szCs w:val="24"/>
            <w:lang w:val="en-US"/>
          </w:rPr>
          <w:t>https://doi.org/10.1186/1471-2105-14-128</w:t>
        </w:r>
      </w:hyperlink>
    </w:p>
    <w:p w14:paraId="76897840"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lastRenderedPageBreak/>
        <w:t xml:space="preserve">[4] Edgar, R., Domrachev, M., &amp; Lash, A. E. (2002). Gene Expression Omnibus: NCBI gene expression and hybridization array data repository.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30(1), 207–210. </w:t>
      </w:r>
      <w:hyperlink r:id="rId23" w:history="1">
        <w:r w:rsidRPr="00800219">
          <w:rPr>
            <w:rStyle w:val="Hyperlink"/>
            <w:rFonts w:ascii="CMU Serif" w:hAnsi="CMU Serif" w:cs="CMU Serif"/>
            <w:sz w:val="24"/>
            <w:szCs w:val="24"/>
            <w:lang w:val="en-US"/>
          </w:rPr>
          <w:t>https://doi.org/10.1093/nar/30.1.207</w:t>
        </w:r>
      </w:hyperlink>
    </w:p>
    <w:p w14:paraId="12D736CC"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[5] Fang, Z., Liu, X., &amp; Peltz, G. (2023). </w:t>
      </w:r>
      <w:proofErr w:type="spellStart"/>
      <w:r w:rsidRPr="00800219">
        <w:rPr>
          <w:rFonts w:ascii="CMU Serif" w:hAnsi="CMU Serif" w:cs="CMU Serif"/>
          <w:sz w:val="24"/>
          <w:szCs w:val="24"/>
          <w:lang w:val="en-US"/>
        </w:rPr>
        <w:t>GSEApy</w:t>
      </w:r>
      <w:proofErr w:type="spellEnd"/>
      <w:r w:rsidRPr="00800219">
        <w:rPr>
          <w:rFonts w:ascii="CMU Serif" w:hAnsi="CMU Serif" w:cs="CMU Serif"/>
          <w:sz w:val="24"/>
          <w:szCs w:val="24"/>
          <w:lang w:val="en-US"/>
        </w:rPr>
        <w:t xml:space="preserve">: A comprehensive package for performing gene set enrichment analysis in Python. </w:t>
      </w:r>
      <w:r w:rsidRPr="00800219">
        <w:rPr>
          <w:rFonts w:ascii="CMU Serif" w:hAnsi="CMU Serif" w:cs="CMU Serif"/>
          <w:i/>
          <w:iCs/>
          <w:sz w:val="24"/>
          <w:szCs w:val="24"/>
          <w:lang w:val="en-US"/>
        </w:rPr>
        <w:t>Bioinformatics</w:t>
      </w:r>
      <w:r w:rsidRPr="00800219">
        <w:rPr>
          <w:rFonts w:ascii="CMU Serif" w:hAnsi="CMU Serif" w:cs="CMU Serif"/>
          <w:sz w:val="24"/>
          <w:szCs w:val="24"/>
          <w:lang w:val="en-US"/>
        </w:rPr>
        <w:t xml:space="preserve">, 39(1). </w:t>
      </w:r>
      <w:hyperlink r:id="rId24" w:history="1">
        <w:r w:rsidRPr="00800219">
          <w:rPr>
            <w:rStyle w:val="Hyperlink"/>
            <w:rFonts w:ascii="CMU Serif" w:hAnsi="CMU Serif" w:cs="CMU Serif"/>
            <w:sz w:val="24"/>
            <w:szCs w:val="24"/>
            <w:lang w:val="en-US"/>
          </w:rPr>
          <w:t>https://doi.org/10.1093/bioinformatics/btac757</w:t>
        </w:r>
      </w:hyperlink>
    </w:p>
    <w:p w14:paraId="655DFA36"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[6] </w:t>
      </w:r>
      <w:proofErr w:type="spellStart"/>
      <w:r w:rsidRPr="00800219">
        <w:rPr>
          <w:rFonts w:ascii="CMU Serif" w:hAnsi="CMU Serif" w:cs="CMU Serif"/>
          <w:sz w:val="24"/>
          <w:szCs w:val="24"/>
          <w:lang w:val="en-US"/>
        </w:rPr>
        <w:t>Kanehisa</w:t>
      </w:r>
      <w:proofErr w:type="spellEnd"/>
      <w:r w:rsidRPr="00800219">
        <w:rPr>
          <w:rFonts w:ascii="CMU Serif" w:hAnsi="CMU Serif" w:cs="CMU Serif"/>
          <w:sz w:val="24"/>
          <w:szCs w:val="24"/>
          <w:lang w:val="en-US"/>
        </w:rPr>
        <w:t xml:space="preserve">, M., </w:t>
      </w:r>
      <w:proofErr w:type="spellStart"/>
      <w:r w:rsidRPr="00800219">
        <w:rPr>
          <w:rFonts w:ascii="CMU Serif" w:hAnsi="CMU Serif" w:cs="CMU Serif"/>
          <w:sz w:val="24"/>
          <w:szCs w:val="24"/>
          <w:lang w:val="en-US"/>
        </w:rPr>
        <w:t>Furumichi</w:t>
      </w:r>
      <w:proofErr w:type="spellEnd"/>
      <w:r w:rsidRPr="00800219">
        <w:rPr>
          <w:rFonts w:ascii="CMU Serif" w:hAnsi="CMU Serif" w:cs="CMU Serif"/>
          <w:sz w:val="24"/>
          <w:szCs w:val="24"/>
          <w:lang w:val="en-US"/>
        </w:rPr>
        <w:t xml:space="preserve">, M., Sato, Y., Kawashima, M., &amp; Ishiguro-Watanabe, M. (2023). KEGG for taxonomy-based analysis of pathways and genomes.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D587–D592. </w:t>
      </w:r>
      <w:hyperlink r:id="rId25" w:history="1">
        <w:r w:rsidRPr="00800219">
          <w:rPr>
            <w:rStyle w:val="Hyperlink"/>
            <w:rFonts w:ascii="CMU Serif" w:hAnsi="CMU Serif" w:cs="CMU Serif"/>
            <w:sz w:val="24"/>
            <w:szCs w:val="24"/>
            <w:lang w:val="en-US"/>
          </w:rPr>
          <w:t>https://doi.org/10.1093/nar/gkac963</w:t>
        </w:r>
      </w:hyperlink>
    </w:p>
    <w:p w14:paraId="6154DC1B"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[7] </w:t>
      </w:r>
      <w:proofErr w:type="spellStart"/>
      <w:r w:rsidRPr="00800219">
        <w:rPr>
          <w:rFonts w:ascii="CMU Serif" w:hAnsi="CMU Serif" w:cs="CMU Serif"/>
          <w:sz w:val="24"/>
          <w:szCs w:val="24"/>
          <w:lang w:val="en-US"/>
        </w:rPr>
        <w:t>McKhann</w:t>
      </w:r>
      <w:proofErr w:type="spellEnd"/>
      <w:r w:rsidRPr="00800219">
        <w:rPr>
          <w:rFonts w:ascii="CMU Serif" w:hAnsi="CMU Serif" w:cs="CMU Serif"/>
          <w:sz w:val="24"/>
          <w:szCs w:val="24"/>
          <w:lang w:val="en-US"/>
        </w:rPr>
        <w:t xml:space="preserve">, G. M., </w:t>
      </w:r>
      <w:proofErr w:type="spellStart"/>
      <w:r w:rsidRPr="00800219">
        <w:rPr>
          <w:rFonts w:ascii="CMU Serif" w:hAnsi="CMU Serif" w:cs="CMU Serif"/>
          <w:sz w:val="24"/>
          <w:szCs w:val="24"/>
          <w:lang w:val="en-US"/>
        </w:rPr>
        <w:t>Knopman</w:t>
      </w:r>
      <w:proofErr w:type="spellEnd"/>
      <w:r w:rsidRPr="00800219">
        <w:rPr>
          <w:rFonts w:ascii="CMU Serif" w:hAnsi="CMU Serif" w:cs="CMU Serif"/>
          <w:sz w:val="24"/>
          <w:szCs w:val="24"/>
          <w:lang w:val="en-US"/>
        </w:rPr>
        <w:t xml:space="preserve">, D. S., </w:t>
      </w:r>
      <w:proofErr w:type="spellStart"/>
      <w:r w:rsidRPr="00800219">
        <w:rPr>
          <w:rFonts w:ascii="CMU Serif" w:hAnsi="CMU Serif" w:cs="CMU Serif"/>
          <w:sz w:val="24"/>
          <w:szCs w:val="24"/>
          <w:lang w:val="en-US"/>
        </w:rPr>
        <w:t>Chertkow</w:t>
      </w:r>
      <w:proofErr w:type="spellEnd"/>
      <w:r w:rsidRPr="00800219">
        <w:rPr>
          <w:rFonts w:ascii="CMU Serif" w:hAnsi="CMU Serif" w:cs="CMU Serif"/>
          <w:sz w:val="24"/>
          <w:szCs w:val="24"/>
          <w:lang w:val="en-US"/>
        </w:rPr>
        <w:t xml:space="preserve">, H., Hyman, B. T., Jack, C. R., Kawas, C. H.,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(2011). The diagnosis of dementia due to Alzheimer's disease: Recommendations from the National Institute on Aging–Alzheimer's Association workgroups. </w:t>
      </w:r>
      <w:r w:rsidRPr="00800219">
        <w:rPr>
          <w:rFonts w:ascii="CMU Serif" w:hAnsi="CMU Serif" w:cs="CMU Serif"/>
          <w:i/>
          <w:iCs/>
          <w:sz w:val="24"/>
          <w:szCs w:val="24"/>
          <w:lang w:val="en-US"/>
        </w:rPr>
        <w:t>Alzheimer's &amp; Dementia</w:t>
      </w:r>
      <w:r w:rsidRPr="00800219">
        <w:rPr>
          <w:rFonts w:ascii="CMU Serif" w:hAnsi="CMU Serif" w:cs="CMU Serif"/>
          <w:sz w:val="24"/>
          <w:szCs w:val="24"/>
          <w:lang w:val="en-US"/>
        </w:rPr>
        <w:t xml:space="preserve">, 7(3), 263–269. </w:t>
      </w:r>
      <w:hyperlink r:id="rId26" w:history="1">
        <w:r w:rsidRPr="00800219">
          <w:rPr>
            <w:rStyle w:val="Hyperlink"/>
            <w:rFonts w:ascii="CMU Serif" w:hAnsi="CMU Serif" w:cs="CMU Serif"/>
            <w:sz w:val="24"/>
            <w:szCs w:val="24"/>
            <w:lang w:val="en-US"/>
          </w:rPr>
          <w:t>https://doi.org/10.1016/j.jalz.2011.03.005</w:t>
        </w:r>
      </w:hyperlink>
    </w:p>
    <w:p w14:paraId="0F8CE6A1"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[8] McKinney, W. (2010). Data structures for statistical computing in Python. </w:t>
      </w:r>
      <w:r w:rsidRPr="00800219">
        <w:rPr>
          <w:rFonts w:ascii="CMU Serif" w:hAnsi="CMU Serif" w:cs="CMU Serif"/>
          <w:i/>
          <w:iCs/>
          <w:sz w:val="24"/>
          <w:szCs w:val="24"/>
          <w:lang w:val="en-US"/>
        </w:rPr>
        <w:t>Proceedings of the 9th Python in Science Conference</w:t>
      </w:r>
      <w:r w:rsidRPr="00800219">
        <w:rPr>
          <w:rFonts w:ascii="CMU Serif" w:hAnsi="CMU Serif" w:cs="CMU Serif"/>
          <w:sz w:val="24"/>
          <w:szCs w:val="24"/>
          <w:lang w:val="en-US"/>
        </w:rPr>
        <w:t>, 51–56.</w:t>
      </w:r>
    </w:p>
    <w:p w14:paraId="2B787AC4"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[9] Narayanan, M., Huynh, J. L., Wang, K., Yang, X., Yoo, S., McElwee, J.,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(2014). Common dysregulation network in the human prefrontal cortex underlies two neurodegenerative diseases. </w:t>
      </w:r>
      <w:r w:rsidRPr="00800219">
        <w:rPr>
          <w:rFonts w:ascii="CMU Serif" w:hAnsi="CMU Serif" w:cs="CMU Serif"/>
          <w:i/>
          <w:iCs/>
          <w:sz w:val="24"/>
          <w:szCs w:val="24"/>
          <w:lang w:val="en-US"/>
        </w:rPr>
        <w:t>Molecular Systems Biology</w:t>
      </w:r>
      <w:r w:rsidRPr="00800219">
        <w:rPr>
          <w:rFonts w:ascii="CMU Serif" w:hAnsi="CMU Serif" w:cs="CMU Serif"/>
          <w:sz w:val="24"/>
          <w:szCs w:val="24"/>
          <w:lang w:val="en-US"/>
        </w:rPr>
        <w:t xml:space="preserve">, 10, 743. </w:t>
      </w:r>
      <w:hyperlink r:id="rId27" w:history="1">
        <w:r w:rsidRPr="00800219">
          <w:rPr>
            <w:rStyle w:val="Hyperlink"/>
            <w:rFonts w:ascii="CMU Serif" w:hAnsi="CMU Serif" w:cs="CMU Serif"/>
            <w:sz w:val="24"/>
            <w:szCs w:val="24"/>
            <w:lang w:val="en-US"/>
          </w:rPr>
          <w:t>https://doi.org/10.15252/msb.20145304</w:t>
        </w:r>
      </w:hyperlink>
    </w:p>
    <w:p w14:paraId="480A8798"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[10] Pedregosa, F., </w:t>
      </w:r>
      <w:proofErr w:type="spellStart"/>
      <w:r w:rsidRPr="00800219">
        <w:rPr>
          <w:rFonts w:ascii="CMU Serif" w:hAnsi="CMU Serif" w:cs="CMU Serif"/>
          <w:sz w:val="24"/>
          <w:szCs w:val="24"/>
          <w:lang w:val="en-US"/>
        </w:rPr>
        <w:t>Varoquaux</w:t>
      </w:r>
      <w:proofErr w:type="spellEnd"/>
      <w:r w:rsidRPr="00800219">
        <w:rPr>
          <w:rFonts w:ascii="CMU Serif" w:hAnsi="CMU Serif" w:cs="CMU Serif"/>
          <w:sz w:val="24"/>
          <w:szCs w:val="24"/>
          <w:lang w:val="en-US"/>
        </w:rPr>
        <w:t xml:space="preserve">, G., </w:t>
      </w:r>
      <w:proofErr w:type="spellStart"/>
      <w:r w:rsidRPr="00800219">
        <w:rPr>
          <w:rFonts w:ascii="CMU Serif" w:hAnsi="CMU Serif" w:cs="CMU Serif"/>
          <w:sz w:val="24"/>
          <w:szCs w:val="24"/>
          <w:lang w:val="en-US"/>
        </w:rPr>
        <w:t>Gramfort</w:t>
      </w:r>
      <w:proofErr w:type="spellEnd"/>
      <w:r w:rsidRPr="00800219">
        <w:rPr>
          <w:rFonts w:ascii="CMU Serif" w:hAnsi="CMU Serif" w:cs="CMU Serif"/>
          <w:sz w:val="24"/>
          <w:szCs w:val="24"/>
          <w:lang w:val="en-US"/>
        </w:rPr>
        <w:t xml:space="preserve">, A., Michel, V., Thirion, B., Grisel, O.,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(2011). Scikit-learn: Machine learning in Python. </w:t>
      </w:r>
      <w:r w:rsidRPr="00800219">
        <w:rPr>
          <w:rFonts w:ascii="CMU Serif" w:hAnsi="CMU Serif" w:cs="CMU Serif"/>
          <w:i/>
          <w:iCs/>
          <w:sz w:val="24"/>
          <w:szCs w:val="24"/>
          <w:lang w:val="en-US"/>
        </w:rPr>
        <w:t>Journal of Machine Learning Research</w:t>
      </w:r>
      <w:r w:rsidRPr="00800219">
        <w:rPr>
          <w:rFonts w:ascii="CMU Serif" w:hAnsi="CMU Serif" w:cs="CMU Serif"/>
          <w:sz w:val="24"/>
          <w:szCs w:val="24"/>
          <w:lang w:val="en-US"/>
        </w:rPr>
        <w:t>, 12, 2825–2830.</w:t>
      </w:r>
    </w:p>
    <w:p w14:paraId="5700BC9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[11] Ritchie, M. E., </w:t>
      </w:r>
      <w:proofErr w:type="spellStart"/>
      <w:r w:rsidRPr="00800219">
        <w:rPr>
          <w:rFonts w:ascii="CMU Serif" w:hAnsi="CMU Serif" w:cs="CMU Serif"/>
          <w:sz w:val="24"/>
          <w:szCs w:val="24"/>
          <w:lang w:val="en-US"/>
        </w:rPr>
        <w:t>Phipson</w:t>
      </w:r>
      <w:proofErr w:type="spellEnd"/>
      <w:r w:rsidRPr="00800219">
        <w:rPr>
          <w:rFonts w:ascii="CMU Serif" w:hAnsi="CMU Serif" w:cs="CMU Serif"/>
          <w:sz w:val="24"/>
          <w:szCs w:val="24"/>
          <w:lang w:val="en-US"/>
        </w:rPr>
        <w:t xml:space="preserve">, B., Wu, D., Hu, Y., Law, C. W., Shi, W., &amp; Smyth, G. K. (2015).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powers differential expression analyses for RNA-sequencing and microarray studies.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43(7), e47. </w:t>
      </w:r>
      <w:hyperlink r:id="rId28" w:history="1">
        <w:r w:rsidRPr="00800219">
          <w:rPr>
            <w:rStyle w:val="Hyperlink"/>
            <w:rFonts w:ascii="CMU Serif" w:hAnsi="CMU Serif" w:cs="CMU Serif"/>
            <w:sz w:val="24"/>
            <w:szCs w:val="24"/>
            <w:lang w:val="en-US"/>
          </w:rPr>
          <w:t>https://doi.org/10.1093/nar/gkv007</w:t>
        </w:r>
      </w:hyperlink>
    </w:p>
    <w:p w14:paraId="5250D08A"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[12] Smyth, G. K. (2004). Linear models and empirical Bayes methods for assessing differential expression in microarray experiments. </w:t>
      </w:r>
      <w:r w:rsidRPr="00800219">
        <w:rPr>
          <w:rFonts w:ascii="CMU Serif" w:hAnsi="CMU Serif" w:cs="CMU Serif"/>
          <w:i/>
          <w:iCs/>
          <w:sz w:val="24"/>
          <w:szCs w:val="24"/>
          <w:lang w:val="en-US"/>
        </w:rPr>
        <w:t>Statistical Applications in Genetics and Molecular Biology</w:t>
      </w:r>
      <w:r w:rsidRPr="00800219">
        <w:rPr>
          <w:rFonts w:ascii="CMU Serif" w:hAnsi="CMU Serif" w:cs="CMU Serif"/>
          <w:sz w:val="24"/>
          <w:szCs w:val="24"/>
          <w:lang w:val="en-US"/>
        </w:rPr>
        <w:t xml:space="preserve">, 3(1). </w:t>
      </w:r>
      <w:hyperlink r:id="rId29" w:history="1">
        <w:r w:rsidRPr="00800219">
          <w:rPr>
            <w:rStyle w:val="Hyperlink"/>
            <w:rFonts w:ascii="CMU Serif" w:hAnsi="CMU Serif" w:cs="CMU Serif"/>
            <w:sz w:val="24"/>
            <w:szCs w:val="24"/>
            <w:lang w:val="en-US"/>
          </w:rPr>
          <w:t>https://doi.org/10.2202/1544-6115.1027</w:t>
        </w:r>
      </w:hyperlink>
    </w:p>
    <w:p w14:paraId="015D217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[13] </w:t>
      </w:r>
      <w:proofErr w:type="spellStart"/>
      <w:r w:rsidRPr="00800219">
        <w:rPr>
          <w:rFonts w:ascii="CMU Serif" w:hAnsi="CMU Serif" w:cs="CMU Serif"/>
          <w:sz w:val="24"/>
          <w:szCs w:val="24"/>
          <w:lang w:val="en-US"/>
        </w:rPr>
        <w:t>Szklarczyk</w:t>
      </w:r>
      <w:proofErr w:type="spellEnd"/>
      <w:r w:rsidRPr="00800219">
        <w:rPr>
          <w:rFonts w:ascii="CMU Serif" w:hAnsi="CMU Serif" w:cs="CMU Serif"/>
          <w:sz w:val="24"/>
          <w:szCs w:val="24"/>
          <w:lang w:val="en-US"/>
        </w:rPr>
        <w:t xml:space="preserve">, D., Gable, A. L., </w:t>
      </w:r>
      <w:proofErr w:type="spellStart"/>
      <w:r w:rsidRPr="00800219">
        <w:rPr>
          <w:rFonts w:ascii="CMU Serif" w:hAnsi="CMU Serif" w:cs="CMU Serif"/>
          <w:sz w:val="24"/>
          <w:szCs w:val="24"/>
          <w:lang w:val="en-US"/>
        </w:rPr>
        <w:t>Nastou</w:t>
      </w:r>
      <w:proofErr w:type="spellEnd"/>
      <w:r w:rsidRPr="00800219">
        <w:rPr>
          <w:rFonts w:ascii="CMU Serif" w:hAnsi="CMU Serif" w:cs="CMU Serif"/>
          <w:sz w:val="24"/>
          <w:szCs w:val="24"/>
          <w:lang w:val="en-US"/>
        </w:rPr>
        <w:t xml:space="preserve">, K. C., Lyon, D., Kirsch, R., </w:t>
      </w:r>
      <w:proofErr w:type="spellStart"/>
      <w:r w:rsidRPr="00800219">
        <w:rPr>
          <w:rFonts w:ascii="CMU Serif" w:hAnsi="CMU Serif" w:cs="CMU Serif"/>
          <w:sz w:val="24"/>
          <w:szCs w:val="24"/>
          <w:lang w:val="en-US"/>
        </w:rPr>
        <w:t>Pyysalo</w:t>
      </w:r>
      <w:proofErr w:type="spellEnd"/>
      <w:r w:rsidRPr="00800219">
        <w:rPr>
          <w:rFonts w:ascii="CMU Serif" w:hAnsi="CMU Serif" w:cs="CMU Serif"/>
          <w:sz w:val="24"/>
          <w:szCs w:val="24"/>
          <w:lang w:val="en-US"/>
        </w:rPr>
        <w:t xml:space="preserve">, S.,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(2023). The STRING database in 2023: Protein–protein association networks and functional enrichment analysis for any sequenced genome of interest.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D638–D646. </w:t>
      </w:r>
      <w:hyperlink r:id="rId30" w:history="1">
        <w:r w:rsidRPr="00800219">
          <w:rPr>
            <w:rStyle w:val="Hyperlink"/>
            <w:rFonts w:ascii="CMU Serif" w:hAnsi="CMU Serif" w:cs="CMU Serif"/>
            <w:sz w:val="24"/>
            <w:szCs w:val="24"/>
            <w:lang w:val="en-US"/>
          </w:rPr>
          <w:t>https://doi.org/10.1093/nar/gkac1000</w:t>
        </w:r>
      </w:hyperlink>
    </w:p>
    <w:p w14:paraId="6CDA8CB4"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lastRenderedPageBreak/>
        <w:t xml:space="preserve">[14] The Gene Ontology Consortium. (2023). The Gene Ontology knowledgebase: 2023 update.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D849–D856. </w:t>
      </w:r>
      <w:hyperlink r:id="rId31" w:history="1">
        <w:r w:rsidRPr="00800219">
          <w:rPr>
            <w:rStyle w:val="Hyperlink"/>
            <w:rFonts w:ascii="CMU Serif" w:hAnsi="CMU Serif" w:cs="CMU Serif"/>
            <w:sz w:val="24"/>
            <w:szCs w:val="24"/>
            <w:lang w:val="en-US"/>
          </w:rPr>
          <w:t>https://doi.org/10.1093/nar/gkac1011</w:t>
        </w:r>
      </w:hyperlink>
    </w:p>
    <w:p w14:paraId="1754BC7F"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[15] Van Rossum, G., &amp; Drake, F. L. (2009). Python 3 Reference Manual. Python Software Foundation. </w:t>
      </w:r>
      <w:hyperlink r:id="rId32" w:history="1">
        <w:r w:rsidRPr="00800219">
          <w:rPr>
            <w:rStyle w:val="Hyperlink"/>
            <w:rFonts w:ascii="CMU Serif" w:hAnsi="CMU Serif" w:cs="CMU Serif"/>
            <w:sz w:val="24"/>
            <w:szCs w:val="24"/>
            <w:lang w:val="en-US"/>
          </w:rPr>
          <w:t>https://docs.python.org/3/</w:t>
        </w:r>
      </w:hyperlink>
    </w:p>
    <w:p w14:paraId="28D010C1"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[16] Hagberg, A. A., Schult, D. A., &amp; Swart, P. J. (2008). Exploring network structure, dynamics, and function using </w:t>
      </w:r>
      <w:proofErr w:type="spellStart"/>
      <w:r w:rsidRPr="00800219">
        <w:rPr>
          <w:rFonts w:ascii="CMU Serif" w:hAnsi="CMU Serif" w:cs="CMU Serif"/>
          <w:sz w:val="24"/>
          <w:szCs w:val="24"/>
          <w:lang w:val="en-US"/>
        </w:rPr>
        <w:t>NetworkX</w:t>
      </w:r>
      <w:proofErr w:type="spellEnd"/>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Proceedings of the 7th Python in Science Conference</w:t>
      </w:r>
      <w:r w:rsidRPr="00800219">
        <w:rPr>
          <w:rFonts w:ascii="CMU Serif" w:hAnsi="CMU Serif" w:cs="CMU Serif"/>
          <w:sz w:val="24"/>
          <w:szCs w:val="24"/>
          <w:lang w:val="en-US"/>
        </w:rPr>
        <w:t>, 11–15.</w:t>
      </w:r>
    </w:p>
    <w:p w14:paraId="511F93E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[17] World Health Organization. (2023). Dementia. </w:t>
      </w:r>
      <w:hyperlink r:id="rId33" w:history="1">
        <w:r w:rsidRPr="00800219">
          <w:rPr>
            <w:rStyle w:val="Hyperlink"/>
            <w:rFonts w:ascii="CMU Serif" w:hAnsi="CMU Serif" w:cs="CMU Serif"/>
            <w:sz w:val="24"/>
            <w:szCs w:val="24"/>
            <w:lang w:val="en-US"/>
          </w:rPr>
          <w:t>https://www.who.int/news-room/fact-sheets/detail/dementia</w:t>
        </w:r>
      </w:hyperlink>
    </w:p>
    <w:p w14:paraId="725E4CF2" w14:textId="58DAA4AF" w:rsidR="004F16C8" w:rsidRPr="00401AC6" w:rsidRDefault="00800219" w:rsidP="004F16C8">
      <w:pPr>
        <w:rPr>
          <w:rFonts w:ascii="CMU Serif" w:hAnsi="CMU Serif" w:cs="CMU Serif"/>
          <w:b/>
          <w:bCs/>
          <w:sz w:val="24"/>
          <w:szCs w:val="24"/>
          <w:lang w:val="en-US"/>
        </w:rPr>
      </w:pPr>
      <w:r>
        <w:rPr>
          <w:rFonts w:ascii="CMU Serif" w:hAnsi="CMU Serif" w:cs="CMU Serif"/>
          <w:sz w:val="24"/>
          <w:szCs w:val="24"/>
          <w:lang w:val="en-US"/>
        </w:rPr>
        <w:t>[18] Ellinidou</w:t>
      </w:r>
      <w:r w:rsidRPr="00800219">
        <w:rPr>
          <w:rFonts w:ascii="CMU Serif" w:hAnsi="CMU Serif" w:cs="CMU Serif"/>
          <w:sz w:val="24"/>
          <w:szCs w:val="24"/>
          <w:lang w:val="en-US"/>
        </w:rPr>
        <w:t xml:space="preserve">, </w:t>
      </w:r>
      <w:r>
        <w:rPr>
          <w:rFonts w:ascii="CMU Serif" w:hAnsi="CMU Serif" w:cs="CMU Serif"/>
          <w:sz w:val="24"/>
          <w:szCs w:val="24"/>
          <w:lang w:val="en-US"/>
        </w:rPr>
        <w:t>R</w:t>
      </w:r>
      <w:r w:rsidRPr="00800219">
        <w:rPr>
          <w:rFonts w:ascii="CMU Serif" w:hAnsi="CMU Serif" w:cs="CMU Serif"/>
          <w:sz w:val="24"/>
          <w:szCs w:val="24"/>
          <w:lang w:val="en-US"/>
        </w:rPr>
        <w:t>. (202</w:t>
      </w:r>
      <w:r>
        <w:rPr>
          <w:rFonts w:ascii="CMU Serif" w:hAnsi="CMU Serif" w:cs="CMU Serif"/>
          <w:sz w:val="24"/>
          <w:szCs w:val="24"/>
          <w:lang w:val="en-US"/>
        </w:rPr>
        <w:t>6</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Integrated Transcriptomic Analysis of Alzheimer's Disease</w:t>
      </w:r>
      <w:r w:rsidRPr="00800219">
        <w:rPr>
          <w:rFonts w:ascii="CMU Serif" w:hAnsi="CMU Serif" w:cs="CMU Serif"/>
          <w:sz w:val="24"/>
          <w:szCs w:val="24"/>
          <w:lang w:val="en-US"/>
        </w:rPr>
        <w:t xml:space="preserve">. </w:t>
      </w:r>
      <w:r w:rsidRPr="00D70B0A">
        <w:rPr>
          <w:rFonts w:ascii="CMU Serif" w:hAnsi="CMU Serif" w:cs="CMU Serif"/>
          <w:sz w:val="24"/>
          <w:szCs w:val="24"/>
          <w:lang w:val="en-US"/>
        </w:rPr>
        <w:t xml:space="preserve">GitHub. </w:t>
      </w:r>
      <w:hyperlink r:id="rId34" w:history="1">
        <w:r w:rsidR="004F16C8" w:rsidRPr="004F16C8">
          <w:rPr>
            <w:rStyle w:val="Hyperlink"/>
            <w:rFonts w:ascii="CMU Serif" w:hAnsi="CMU Serif" w:cs="CMU Serif"/>
            <w:sz w:val="24"/>
            <w:szCs w:val="24"/>
            <w:lang w:val="en-US"/>
          </w:rPr>
          <w:t>https://github.com/ritaell/alzheimers-transcriptomic-analysis</w:t>
        </w:r>
      </w:hyperlink>
      <w:r w:rsidR="00401AC6">
        <w:rPr>
          <w:lang w:val="en-US"/>
        </w:rPr>
        <w:t xml:space="preserve">, DOI: </w:t>
      </w:r>
      <w:hyperlink r:id="rId35" w:history="1">
        <w:r w:rsidR="00401AC6" w:rsidRPr="00401AC6">
          <w:rPr>
            <w:rStyle w:val="Hyperlink"/>
            <w:lang w:val="en-US"/>
          </w:rPr>
          <w:t> DOI: 10.5281/zenodo.21198586</w:t>
        </w:r>
      </w:hyperlink>
    </w:p>
    <w:p w14:paraId="7D8A6623" w14:textId="26BAC5E5" w:rsidR="00E12210" w:rsidRPr="00800219" w:rsidRDefault="00E12210">
      <w:pPr>
        <w:rPr>
          <w:rFonts w:ascii="CMU Serif" w:hAnsi="CMU Serif" w:cs="CMU Serif"/>
          <w:sz w:val="24"/>
          <w:szCs w:val="24"/>
          <w:lang w:val="en-US"/>
        </w:rPr>
      </w:pPr>
    </w:p>
    <w:sectPr w:rsidR="00E12210" w:rsidRPr="008002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03D38"/>
    <w:multiLevelType w:val="multilevel"/>
    <w:tmpl w:val="9E36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733EC"/>
    <w:multiLevelType w:val="multilevel"/>
    <w:tmpl w:val="422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920896"/>
    <w:multiLevelType w:val="multilevel"/>
    <w:tmpl w:val="0940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EF3F03"/>
    <w:multiLevelType w:val="multilevel"/>
    <w:tmpl w:val="107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E16D6E"/>
    <w:multiLevelType w:val="multilevel"/>
    <w:tmpl w:val="DC5C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1411C"/>
    <w:multiLevelType w:val="multilevel"/>
    <w:tmpl w:val="1B7C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6E7F39"/>
    <w:multiLevelType w:val="multilevel"/>
    <w:tmpl w:val="0AE4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A93FEF"/>
    <w:multiLevelType w:val="multilevel"/>
    <w:tmpl w:val="EF2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9161F8"/>
    <w:multiLevelType w:val="multilevel"/>
    <w:tmpl w:val="5EEA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118857">
    <w:abstractNumId w:val="3"/>
  </w:num>
  <w:num w:numId="2" w16cid:durableId="1765415113">
    <w:abstractNumId w:val="7"/>
  </w:num>
  <w:num w:numId="3" w16cid:durableId="2060127913">
    <w:abstractNumId w:val="4"/>
  </w:num>
  <w:num w:numId="4" w16cid:durableId="1945579041">
    <w:abstractNumId w:val="0"/>
  </w:num>
  <w:num w:numId="5" w16cid:durableId="749740981">
    <w:abstractNumId w:val="6"/>
  </w:num>
  <w:num w:numId="6" w16cid:durableId="2012636028">
    <w:abstractNumId w:val="2"/>
  </w:num>
  <w:num w:numId="7" w16cid:durableId="1612392380">
    <w:abstractNumId w:val="8"/>
  </w:num>
  <w:num w:numId="8" w16cid:durableId="912543840">
    <w:abstractNumId w:val="1"/>
  </w:num>
  <w:num w:numId="9" w16cid:durableId="1725592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E30"/>
    <w:rsid w:val="00293445"/>
    <w:rsid w:val="00401AC6"/>
    <w:rsid w:val="00413E30"/>
    <w:rsid w:val="00474F62"/>
    <w:rsid w:val="004F16C8"/>
    <w:rsid w:val="00545324"/>
    <w:rsid w:val="0056720F"/>
    <w:rsid w:val="005F6613"/>
    <w:rsid w:val="006075F9"/>
    <w:rsid w:val="00690CFE"/>
    <w:rsid w:val="00692FE7"/>
    <w:rsid w:val="006A5EB5"/>
    <w:rsid w:val="00703BA6"/>
    <w:rsid w:val="007126DD"/>
    <w:rsid w:val="007F07C1"/>
    <w:rsid w:val="00800219"/>
    <w:rsid w:val="008137FA"/>
    <w:rsid w:val="0085607D"/>
    <w:rsid w:val="00935A4C"/>
    <w:rsid w:val="009B3CA3"/>
    <w:rsid w:val="00A17C83"/>
    <w:rsid w:val="00AC3C2C"/>
    <w:rsid w:val="00B91458"/>
    <w:rsid w:val="00B92580"/>
    <w:rsid w:val="00BE7672"/>
    <w:rsid w:val="00BF1A03"/>
    <w:rsid w:val="00D70B0A"/>
    <w:rsid w:val="00DD70E0"/>
    <w:rsid w:val="00E12210"/>
    <w:rsid w:val="00E32D0B"/>
    <w:rsid w:val="00F61F35"/>
    <w:rsid w:val="00F8165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F151D"/>
  <w15:chartTrackingRefBased/>
  <w15:docId w15:val="{D4BCB902-E4BB-41E7-A5EE-131AD2C40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6C8"/>
  </w:style>
  <w:style w:type="paragraph" w:styleId="Heading1">
    <w:name w:val="heading 1"/>
    <w:basedOn w:val="Normal"/>
    <w:next w:val="Normal"/>
    <w:link w:val="Heading1Char"/>
    <w:uiPriority w:val="9"/>
    <w:qFormat/>
    <w:rsid w:val="00413E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3E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E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E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E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E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3E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E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E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E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E30"/>
    <w:rPr>
      <w:rFonts w:eastAsiaTheme="majorEastAsia" w:cstheme="majorBidi"/>
      <w:color w:val="272727" w:themeColor="text1" w:themeTint="D8"/>
    </w:rPr>
  </w:style>
  <w:style w:type="paragraph" w:styleId="Title">
    <w:name w:val="Title"/>
    <w:basedOn w:val="Normal"/>
    <w:next w:val="Normal"/>
    <w:link w:val="TitleChar"/>
    <w:uiPriority w:val="10"/>
    <w:qFormat/>
    <w:rsid w:val="00413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E30"/>
    <w:pPr>
      <w:spacing w:before="160"/>
      <w:jc w:val="center"/>
    </w:pPr>
    <w:rPr>
      <w:i/>
      <w:iCs/>
      <w:color w:val="404040" w:themeColor="text1" w:themeTint="BF"/>
    </w:rPr>
  </w:style>
  <w:style w:type="character" w:customStyle="1" w:styleId="QuoteChar">
    <w:name w:val="Quote Char"/>
    <w:basedOn w:val="DefaultParagraphFont"/>
    <w:link w:val="Quote"/>
    <w:uiPriority w:val="29"/>
    <w:rsid w:val="00413E30"/>
    <w:rPr>
      <w:i/>
      <w:iCs/>
      <w:color w:val="404040" w:themeColor="text1" w:themeTint="BF"/>
    </w:rPr>
  </w:style>
  <w:style w:type="paragraph" w:styleId="ListParagraph">
    <w:name w:val="List Paragraph"/>
    <w:basedOn w:val="Normal"/>
    <w:uiPriority w:val="34"/>
    <w:qFormat/>
    <w:rsid w:val="00413E30"/>
    <w:pPr>
      <w:ind w:left="720"/>
      <w:contextualSpacing/>
    </w:pPr>
  </w:style>
  <w:style w:type="character" w:styleId="IntenseEmphasis">
    <w:name w:val="Intense Emphasis"/>
    <w:basedOn w:val="DefaultParagraphFont"/>
    <w:uiPriority w:val="21"/>
    <w:qFormat/>
    <w:rsid w:val="00413E30"/>
    <w:rPr>
      <w:i/>
      <w:iCs/>
      <w:color w:val="2F5496" w:themeColor="accent1" w:themeShade="BF"/>
    </w:rPr>
  </w:style>
  <w:style w:type="paragraph" w:styleId="IntenseQuote">
    <w:name w:val="Intense Quote"/>
    <w:basedOn w:val="Normal"/>
    <w:next w:val="Normal"/>
    <w:link w:val="IntenseQuoteChar"/>
    <w:uiPriority w:val="30"/>
    <w:qFormat/>
    <w:rsid w:val="00413E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E30"/>
    <w:rPr>
      <w:i/>
      <w:iCs/>
      <w:color w:val="2F5496" w:themeColor="accent1" w:themeShade="BF"/>
    </w:rPr>
  </w:style>
  <w:style w:type="character" w:styleId="IntenseReference">
    <w:name w:val="Intense Reference"/>
    <w:basedOn w:val="DefaultParagraphFont"/>
    <w:uiPriority w:val="32"/>
    <w:qFormat/>
    <w:rsid w:val="00413E30"/>
    <w:rPr>
      <w:b/>
      <w:bCs/>
      <w:smallCaps/>
      <w:color w:val="2F5496" w:themeColor="accent1" w:themeShade="BF"/>
      <w:spacing w:val="5"/>
    </w:rPr>
  </w:style>
  <w:style w:type="character" w:styleId="Hyperlink">
    <w:name w:val="Hyperlink"/>
    <w:basedOn w:val="DefaultParagraphFont"/>
    <w:uiPriority w:val="99"/>
    <w:unhideWhenUsed/>
    <w:rsid w:val="00E12210"/>
    <w:rPr>
      <w:color w:val="0563C1" w:themeColor="hyperlink"/>
      <w:u w:val="single"/>
    </w:rPr>
  </w:style>
  <w:style w:type="character" w:styleId="UnresolvedMention">
    <w:name w:val="Unresolved Mention"/>
    <w:basedOn w:val="DefaultParagraphFont"/>
    <w:uiPriority w:val="99"/>
    <w:semiHidden/>
    <w:unhideWhenUsed/>
    <w:rsid w:val="00E12210"/>
    <w:rPr>
      <w:color w:val="605E5C"/>
      <w:shd w:val="clear" w:color="auto" w:fill="E1DFDD"/>
    </w:rPr>
  </w:style>
  <w:style w:type="character" w:styleId="FollowedHyperlink">
    <w:name w:val="FollowedHyperlink"/>
    <w:basedOn w:val="DefaultParagraphFont"/>
    <w:uiPriority w:val="99"/>
    <w:semiHidden/>
    <w:unhideWhenUsed/>
    <w:rsid w:val="004F16C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github.com/ritaell/alzheimers-transcriptomic-analysis" TargetMode="External"/><Relationship Id="rId26" Type="http://schemas.openxmlformats.org/officeDocument/2006/relationships/hyperlink" Target="https://doi.org/10.1016/j.jalz.2011.03.005" TargetMode="External"/><Relationship Id="rId21" Type="http://schemas.openxmlformats.org/officeDocument/2006/relationships/hyperlink" Target="https://www.jstor.org/stable/2346101" TargetMode="External"/><Relationship Id="rId34" Type="http://schemas.openxmlformats.org/officeDocument/2006/relationships/hyperlink" Target="https://github.com/ritaell/alzheimers-transcriptomic-analysi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1093/nar/gkac963" TargetMode="External"/><Relationship Id="rId33" Type="http://schemas.openxmlformats.org/officeDocument/2006/relationships/hyperlink" Target="https://www.who.int/news-room/fact-sheets/detail/dementia"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i.org/10.1038/75556" TargetMode="External"/><Relationship Id="rId29" Type="http://schemas.openxmlformats.org/officeDocument/2006/relationships/hyperlink" Target="https://doi.org/10.2202/1544-6115.1027" TargetMode="External"/><Relationship Id="rId1" Type="http://schemas.openxmlformats.org/officeDocument/2006/relationships/numbering" Target="numbering.xml"/><Relationship Id="rId6" Type="http://schemas.openxmlformats.org/officeDocument/2006/relationships/hyperlink" Target="https://doi.org/10.5281/zenodo.21198586" TargetMode="External"/><Relationship Id="rId11" Type="http://schemas.openxmlformats.org/officeDocument/2006/relationships/image" Target="media/image5.png"/><Relationship Id="rId24" Type="http://schemas.openxmlformats.org/officeDocument/2006/relationships/hyperlink" Target="https://doi.org/10.1093/bioinformatics/btac757" TargetMode="External"/><Relationship Id="rId32" Type="http://schemas.openxmlformats.org/officeDocument/2006/relationships/hyperlink" Target="https://docs.python.org/3/" TargetMode="External"/><Relationship Id="rId37" Type="http://schemas.openxmlformats.org/officeDocument/2006/relationships/theme" Target="theme/theme1.xml"/><Relationship Id="rId5" Type="http://schemas.openxmlformats.org/officeDocument/2006/relationships/hyperlink" Target="https://github.com/ritaell/alzheimers-transcriptomic-analysis" TargetMode="External"/><Relationship Id="rId15" Type="http://schemas.openxmlformats.org/officeDocument/2006/relationships/image" Target="media/image9.png"/><Relationship Id="rId23" Type="http://schemas.openxmlformats.org/officeDocument/2006/relationships/hyperlink" Target="https://doi.org/10.1093/nar/30.1.207" TargetMode="External"/><Relationship Id="rId28" Type="http://schemas.openxmlformats.org/officeDocument/2006/relationships/hyperlink" Target="https://doi.org/10.1093/nar/gkv007"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5281/zenodo.21198586" TargetMode="External"/><Relationship Id="rId31" Type="http://schemas.openxmlformats.org/officeDocument/2006/relationships/hyperlink" Target="https://doi.org/10.1093/nar/gkac101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186/1471-2105-14-128" TargetMode="External"/><Relationship Id="rId27" Type="http://schemas.openxmlformats.org/officeDocument/2006/relationships/hyperlink" Target="https://doi.org/10.15252/msb.20145304" TargetMode="External"/><Relationship Id="rId30" Type="http://schemas.openxmlformats.org/officeDocument/2006/relationships/hyperlink" Target="https://doi.org/10.1093/nar/gkac1000" TargetMode="External"/><Relationship Id="rId35" Type="http://schemas.openxmlformats.org/officeDocument/2006/relationships/hyperlink" Target="https://doi.org/10.5281/zenodo.21198586"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24</Pages>
  <Words>5865</Words>
  <Characters>31673</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Ellinidou</dc:creator>
  <cp:keywords/>
  <dc:description/>
  <cp:lastModifiedBy>Rita Ellinidou</cp:lastModifiedBy>
  <cp:revision>16</cp:revision>
  <dcterms:created xsi:type="dcterms:W3CDTF">2026-07-02T22:24:00Z</dcterms:created>
  <dcterms:modified xsi:type="dcterms:W3CDTF">2026-07-10T21:41:00Z</dcterms:modified>
</cp:coreProperties>
</file>