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0B2545"/>
          <w:sz w:val="44"/>
          <w:szCs w:val="44"/>
        </w:rPr>
        <w:t xml:space="preserve">RailSuraksha AI (रेल-सुरक्षा)</w:t>
      </w:r>
    </w:p>
    <w:p>
      <w:pPr>
        <w:spacing w:after="400" w:before="200"/>
        <w:jc w:val="center"/>
      </w:pPr>
      <w:r>
        <w:rPr>
          <w:b/>
          <w:bCs/>
          <w:color w:val="C1440E"/>
          <w:sz w:val="30"/>
          <w:szCs w:val="30"/>
        </w:rPr>
        <w:t xml:space="preserve">Innovation &amp; Competitive Landscape Report</w:t>
      </w:r>
    </w:p>
    <w:p>
      <w:pPr>
        <w:spacing w:after="100"/>
        <w:jc w:val="center"/>
      </w:pPr>
      <w:r>
        <w:rPr>
          <w:i/>
          <w:iCs/>
          <w:color w:val="555555"/>
          <w:sz w:val="22"/>
          <w:szCs w:val="22"/>
        </w:rPr>
        <w:t xml:space="preserve">What Exists Today vs. What We Are Innovating, and Our Data-Security Roadmap</w:t>
      </w:r>
    </w:p>
    <w:p>
      <w:pPr>
        <w:spacing w:before="600"/>
        <w:jc w:val="center"/>
      </w:pPr>
      <w:r>
        <w:rPr>
          <w:color w:val="555555"/>
          <w:sz w:val="20"/>
          <w:szCs w:val="20"/>
        </w:rPr>
        <w:t xml:space="preserve">Prepared for: Hackathon Judges &amp; Mentor Review Panel</w:t>
      </w:r>
    </w:p>
    <w:p>
      <w:pPr>
        <w:spacing w:after="1200"/>
        <w:jc w:val="center"/>
      </w:pPr>
      <w:r>
        <w:rPr>
          <w:color w:val="555555"/>
          <w:sz w:val="20"/>
          <w:szCs w:val="20"/>
        </w:rPr>
        <w:t xml:space="preserve">Date: August 19, 2026</w:t>
      </w:r>
    </w:p>
    <w:p>
      <w:r>
        <w:br w:type="page"/>
      </w:r>
    </w:p>
    <w:p>
      <w:pPr>
        <w:pStyle w:val="Heading1"/>
        <w:pBdr>
          <w:bottom w:val="single" w:color="0B2545" w:sz="6" w:space="4"/>
        </w:pBdr>
        <w:spacing w:after="160" w:before="360"/>
      </w:pPr>
      <w:r>
        <w:rPr>
          <w:b/>
          <w:bCs/>
          <w:color w:val="0B2545"/>
          <w:sz w:val="30"/>
          <w:szCs w:val="30"/>
        </w:rPr>
        <w:t xml:space="preserve">1. Executive Summary</w:t>
      </w:r>
    </w:p>
    <w:p>
      <w:pPr>
        <w:spacing w:after="140"/>
      </w:pPr>
      <w:r>
        <w:rPr>
          <w:sz w:val="22"/>
          <w:szCs w:val="22"/>
        </w:rPr>
        <w:t xml:space="preserve">RailSuraksha AI is not a request to Indian Railways to buy or install new hardware. We use sensors, cameras, and telemetry systems the network already has — loco-cab cameras, platform CCTV, and standard train arrival telemetry — and add an intelligence layer on top of them. Three existing, separately-run safety systems already exist within Indian Railways: Kavach (collision avoidance), USFD (manual/vehicular track flaw detection), and RailTel/vendor CCTV analytics (station surveillance). Each solves one problem in isolation, and none of them coordinate platform-level congestion between two adjacent, simultaneously-arriving trains. This report lays out, feature by feature, what already exists, what we are adding on top of it, and the security hardening required before any pilot could be trusted with real station or signaling data.</w:t>
      </w:r>
    </w:p>
    <w:p>
      <w:pPr>
        <w:pStyle w:val="Heading1"/>
        <w:pBdr>
          <w:bottom w:val="single" w:color="0B2545" w:sz="6" w:space="4"/>
        </w:pBdr>
        <w:spacing w:after="160" w:before="360"/>
      </w:pPr>
      <w:r>
        <w:rPr>
          <w:b/>
          <w:bCs/>
          <w:color w:val="0B2545"/>
          <w:sz w:val="30"/>
          <w:szCs w:val="30"/>
        </w:rPr>
        <w:t xml:space="preserve">2. What Already Exists — Standalone Systems in Indian Railways</w:t>
      </w:r>
    </w:p>
    <w:p>
      <w:pPr>
        <w:spacing w:after="140"/>
      </w:pPr>
      <w:r>
        <w:rPr>
          <w:sz w:val="22"/>
          <w:szCs w:val="22"/>
        </w:rPr>
        <w:t xml:space="preserve">These systems are real, funded, and in various stages of national rollout. We are not claiming these gaps are unaddressed by anyone — we are showing where our project sits relative to them, and what none of them do.</w:t>
      </w:r>
    </w:p>
    <w:p>
      <w:pPr>
        <w:pStyle w:val="Heading2"/>
        <w:spacing w:after="120" w:before="280"/>
      </w:pPr>
      <w:r>
        <w:rPr>
          <w:b/>
          <w:bCs/>
          <w:color w:val="C1440E"/>
          <w:sz w:val="24"/>
          <w:szCs w:val="24"/>
        </w:rPr>
        <w:t xml:space="preserve">2.1 Kavach — Automatic Train Protection (ATP)</w:t>
      </w:r>
    </w:p>
    <w:p>
      <w:pPr>
        <w:spacing w:after="140"/>
      </w:pPr>
      <w:r>
        <w:rPr>
          <w:sz w:val="22"/>
          <w:szCs w:val="22"/>
        </w:rPr>
        <w:t xml:space="preserve">Developed by RDSO (Research Designs &amp; Standards Organisation) with Medha Servo Drives, Kernex Microsystems, and HBL Power Systems. Adopted as India's National ATP system in 2020; Kavach 4.0 approved in 2024, with Vande Bharat 4.0 expected to carry Kavach 5.0.</w:t>
      </w:r>
    </w:p>
    <w:p>
      <w:pPr>
        <w:pStyle w:val="ListParagraph"/>
        <w:numPr>
          <w:ilvl w:val="0"/>
          <w:numId w:val="2"/>
        </w:numPr>
        <w:spacing w:after="80"/>
      </w:pPr>
      <w:r>
        <w:rPr>
          <w:sz w:val="22"/>
          <w:szCs w:val="22"/>
        </w:rPr>
        <w:t xml:space="preserve">Prevents Signal Passed at Danger (SPAD), head-on, rear-end, and side-on collisions.</w:t>
      </w:r>
    </w:p>
    <w:p>
      <w:pPr>
        <w:pStyle w:val="ListParagraph"/>
        <w:numPr>
          <w:ilvl w:val="0"/>
          <w:numId w:val="2"/>
        </w:numPr>
        <w:spacing w:after="80"/>
      </w:pPr>
      <w:r>
        <w:rPr>
          <w:sz w:val="22"/>
          <w:szCs w:val="22"/>
        </w:rPr>
        <w:t xml:space="preserve">Automatically applies brakes if the loco pilot fails to react to a red signal or overspeed.</w:t>
      </w:r>
    </w:p>
    <w:p>
      <w:pPr>
        <w:pStyle w:val="ListParagraph"/>
        <w:numPr>
          <w:ilvl w:val="0"/>
          <w:numId w:val="2"/>
        </w:numPr>
        <w:spacing w:after="80"/>
      </w:pPr>
      <w:r>
        <w:rPr>
          <w:sz w:val="22"/>
          <w:szCs w:val="22"/>
        </w:rPr>
        <w:t xml:space="preserve">Cab signaling, automatic horn at level crossings, Emergency Stop-on-Sight (SoS) broadcast to nearby trains.</w:t>
      </w:r>
    </w:p>
    <w:p>
      <w:pPr>
        <w:pStyle w:val="ListParagraph"/>
        <w:numPr>
          <w:ilvl w:val="0"/>
          <w:numId w:val="2"/>
        </w:numPr>
        <w:spacing w:after="80"/>
      </w:pPr>
      <w:r>
        <w:rPr>
          <w:sz w:val="22"/>
          <w:szCs w:val="22"/>
        </w:rPr>
        <w:t xml:space="preserve">Coverage: over 2,200 route km live as of early 2026, against a target network of ~68,000 route km — under 4% national coverage. Trackside cost ≈ ₹50 lakh/km, ≈ ₹70 lakh/train.</w:t>
      </w:r>
    </w:p>
    <w:p>
      <w:pPr>
        <w:pStyle w:val="ListParagraph"/>
        <w:numPr>
          <w:ilvl w:val="0"/>
          <w:numId w:val="2"/>
        </w:numPr>
        <w:spacing w:after="80"/>
      </w:pPr>
      <w:r>
        <w:rPr>
          <w:sz w:val="22"/>
          <w:szCs w:val="22"/>
        </w:rPr>
        <w:t xml:space="preserve">Scope: signaling-based train-to-train protection only. It does not see the physical track surface, does not analyze platform crowds, and does not coordinate which platform a train is assigned to.</w:t>
      </w:r>
    </w:p>
    <w:p>
      <w:pPr>
        <w:pStyle w:val="Heading2"/>
        <w:spacing w:after="120" w:before="280"/>
      </w:pPr>
      <w:r>
        <w:rPr>
          <w:b/>
          <w:bCs/>
          <w:color w:val="C1440E"/>
          <w:sz w:val="24"/>
          <w:szCs w:val="24"/>
        </w:rPr>
        <w:t xml:space="preserve">2.2 USFD — Ultrasonic Flaw Detection (Track Health Inspection)</w:t>
      </w:r>
    </w:p>
    <w:p>
      <w:pPr>
        <w:spacing w:after="140"/>
      </w:pPr>
      <w:r>
        <w:rPr>
          <w:sz w:val="22"/>
          <w:szCs w:val="22"/>
        </w:rPr>
        <w:t xml:space="preserve">India's existing method for finding internal rail fractures, in use for over five decades, currently procuring self-propelled vehicular USFD cars (₹1,000 crore tender) to replace manual trolley-based testing.</w:t>
      </w:r>
    </w:p>
    <w:p>
      <w:pPr>
        <w:pStyle w:val="ListParagraph"/>
        <w:numPr>
          <w:ilvl w:val="0"/>
          <w:numId w:val="2"/>
        </w:numPr>
        <w:spacing w:after="80"/>
      </w:pPr>
      <w:r>
        <w:rPr>
          <w:sz w:val="22"/>
          <w:szCs w:val="22"/>
        </w:rPr>
        <w:t xml:space="preserve">Detects internal flaws: transverse/kidney cracks, gauge-corner defects, split webs, bolt-hole cracks.</w:t>
      </w:r>
    </w:p>
    <w:p>
      <w:pPr>
        <w:pStyle w:val="ListParagraph"/>
        <w:numPr>
          <w:ilvl w:val="0"/>
          <w:numId w:val="2"/>
        </w:numPr>
        <w:spacing w:after="80"/>
      </w:pPr>
      <w:r>
        <w:rPr>
          <w:sz w:val="22"/>
          <w:szCs w:val="22"/>
        </w:rPr>
        <w:t xml:space="preserve">Still largely manual/periodic: a section of track is tested once every few days by trained inspectors, not continuously.</w:t>
      </w:r>
    </w:p>
    <w:p>
      <w:pPr>
        <w:pStyle w:val="ListParagraph"/>
        <w:numPr>
          <w:ilvl w:val="0"/>
          <w:numId w:val="2"/>
        </w:numPr>
        <w:spacing w:after="80"/>
      </w:pPr>
      <w:r>
        <w:rPr>
          <w:sz w:val="22"/>
          <w:szCs w:val="22"/>
        </w:rPr>
        <w:t xml:space="preserve">Requires trained operators, track possession windows, and physical trolley/vehicle deployment — cannot react to a sudden obstruction (boulder, cattle, debris) appearing between inspection cycles.</w:t>
      </w:r>
    </w:p>
    <w:p>
      <w:pPr>
        <w:pStyle w:val="ListParagraph"/>
        <w:numPr>
          <w:ilvl w:val="0"/>
          <w:numId w:val="2"/>
        </w:numPr>
        <w:spacing w:after="80"/>
      </w:pPr>
      <w:r>
        <w:rPr>
          <w:sz w:val="22"/>
          <w:szCs w:val="22"/>
        </w:rPr>
        <w:t xml:space="preserve">No connection to live braking decisions — it is a maintenance-scheduling tool, not a real-time onboard safety trigger.</w:t>
      </w:r>
    </w:p>
    <w:p>
      <w:pPr>
        <w:pStyle w:val="Heading2"/>
        <w:spacing w:after="120" w:before="280"/>
      </w:pPr>
      <w:r>
        <w:rPr>
          <w:b/>
          <w:bCs/>
          <w:color w:val="C1440E"/>
          <w:sz w:val="24"/>
          <w:szCs w:val="24"/>
        </w:rPr>
        <w:t xml:space="preserve">2.3 AI-Based Station Surveillance (RailTel / Vendor CCTV Analytics)</w:t>
      </w:r>
    </w:p>
    <w:p>
      <w:pPr>
        <w:spacing w:after="140"/>
      </w:pPr>
      <w:r>
        <w:rPr>
          <w:sz w:val="22"/>
          <w:szCs w:val="22"/>
        </w:rPr>
        <w:t xml:space="preserve">RailTel was awarded an AI-based surveillance contract for New Delhi Railway Station (work order dated May 13, 2026), part of the Ministry of Railways' plan to modernize 76 major stations with crowd-management and threat-detection cameras. Separately, vendors such as Assert AI have deployed passenger-counting and heatmap analytics at Mumbai stations using existing CCTV feeds.</w:t>
      </w:r>
    </w:p>
    <w:p>
      <w:pPr>
        <w:pStyle w:val="ListParagraph"/>
        <w:numPr>
          <w:ilvl w:val="0"/>
          <w:numId w:val="2"/>
        </w:numPr>
        <w:spacing w:after="80"/>
      </w:pPr>
      <w:r>
        <w:rPr>
          <w:sz w:val="22"/>
          <w:szCs w:val="22"/>
        </w:rPr>
        <w:t xml:space="preserve">Capabilities in the field today: automated passenger counting, queue-length detection at ticket counters/entry points, movement heatmaps, loitering/restricted-area alerts, unattended-object detection.</w:t>
      </w:r>
    </w:p>
    <w:p>
      <w:pPr>
        <w:pStyle w:val="ListParagraph"/>
        <w:numPr>
          <w:ilvl w:val="0"/>
          <w:numId w:val="2"/>
        </w:numPr>
        <w:spacing w:after="80"/>
      </w:pPr>
      <w:r>
        <w:rPr>
          <w:sz w:val="22"/>
          <w:szCs w:val="22"/>
        </w:rPr>
        <w:t xml:space="preserve">These systems report crowd density after the fact or in aggregate — they do not hold or release platform assignments in response to a specific adjacent train arrival.</w:t>
      </w:r>
    </w:p>
    <w:p>
      <w:pPr>
        <w:pStyle w:val="ListParagraph"/>
        <w:numPr>
          <w:ilvl w:val="0"/>
          <w:numId w:val="2"/>
        </w:numPr>
        <w:spacing w:after="80"/>
      </w:pPr>
      <w:r>
        <w:rPr>
          <w:sz w:val="22"/>
          <w:szCs w:val="22"/>
        </w:rPr>
        <w:t xml:space="preserve">No system found in current deployments enforces a coordinated hold timer between two physically adjacent platforms sharing a foot-over-bridge or staircase.</w:t>
      </w:r>
    </w:p>
    <w:p>
      <w:pPr>
        <w:pStyle w:val="Heading1"/>
        <w:pBdr>
          <w:bottom w:val="single" w:color="0B2545" w:sz="6" w:space="4"/>
        </w:pBdr>
        <w:spacing w:after="160" w:before="360"/>
      </w:pPr>
      <w:r>
        <w:rPr>
          <w:b/>
          <w:bCs/>
          <w:color w:val="0B2545"/>
          <w:sz w:val="30"/>
          <w:szCs w:val="30"/>
        </w:rPr>
        <w:t xml:space="preserve">3. What We Are Innovating</w:t>
      </w:r>
    </w:p>
    <w:p>
      <w:pPr>
        <w:spacing w:after="140"/>
      </w:pPr>
      <w:r>
        <w:rPr>
          <w:sz w:val="22"/>
          <w:szCs w:val="22"/>
        </w:rPr>
        <w:t xml:space="preserve">Our contribution is not to reinvent Kavach, USFD, or station CCTV analytics — it is to close the coordination gap between them and add one capability that, based on available public information, does not exist anywhere in the current Indian Railways technology stack: adjacent-platform crowd-scheduling intelligence.</w:t>
      </w:r>
    </w:p>
    <w:p>
      <w:pPr>
        <w:pStyle w:val="Heading2"/>
        <w:spacing w:after="120" w:before="280"/>
      </w:pPr>
      <w:r>
        <w:rPr>
          <w:b/>
          <w:bCs/>
          <w:color w:val="C1440E"/>
          <w:sz w:val="24"/>
          <w:szCs w:val="24"/>
        </w:rPr>
        <w:t xml:space="preserve">3.1 Adjacent-Platform Overcrowding Coordination (Primary Innovation)</w:t>
      </w:r>
    </w:p>
    <w:p>
      <w:pPr>
        <w:spacing w:after="140"/>
      </w:pPr>
      <w:r>
        <w:rPr>
          <w:sz w:val="22"/>
          <w:szCs w:val="22"/>
        </w:rPr>
        <w:t xml:space="preserve">When a train arrives at Platform 18, our system automatically places a coordinated hold on Platform 19 (and any other platform sharing the same foot-over-bridge/staircase access) so a second train cannot be assigned there for a minimum window — a hardcoded 5-minute deterministic floor, dynamically extended by an ML model using train type, coach count, and live crowd density.</w:t>
      </w:r>
    </w:p>
    <w:p>
      <w:pPr>
        <w:pStyle w:val="ListParagraph"/>
        <w:numPr>
          <w:ilvl w:val="0"/>
          <w:numId w:val="2"/>
        </w:numPr>
        <w:spacing w:after="80"/>
      </w:pPr>
      <w:r>
        <w:rPr>
          <w:sz w:val="22"/>
          <w:szCs w:val="22"/>
        </w:rPr>
        <w:t xml:space="preserve">Existing surveillance systems (RailTel, Assert AI) measure crowd density — none of them feed that measurement into platform-assignment decisions.</w:t>
      </w:r>
    </w:p>
    <w:p>
      <w:pPr>
        <w:pStyle w:val="ListParagraph"/>
        <w:numPr>
          <w:ilvl w:val="0"/>
          <w:numId w:val="2"/>
        </w:numPr>
        <w:spacing w:after="80"/>
      </w:pPr>
      <w:r>
        <w:rPr>
          <w:sz w:val="22"/>
          <w:szCs w:val="22"/>
        </w:rPr>
        <w:t xml:space="preserve">This is the one feature in this project with no known standalone equivalent in current Indian Railways deployments — it is a scheduling/coordination layer, not a new sensor.</w:t>
      </w:r>
    </w:p>
    <w:p>
      <w:pPr>
        <w:pStyle w:val="Heading2"/>
        <w:spacing w:after="120" w:before="280"/>
      </w:pPr>
      <w:r>
        <w:rPr>
          <w:b/>
          <w:bCs/>
          <w:color w:val="C1440E"/>
          <w:sz w:val="24"/>
          <w:szCs w:val="24"/>
        </w:rPr>
        <w:t xml:space="preserve">3.2 Continuous AI-Based Track Health Monitoring (Complements USFD)</w:t>
      </w:r>
    </w:p>
    <w:p>
      <w:pPr>
        <w:spacing w:after="140"/>
      </w:pPr>
      <w:r>
        <w:rPr>
          <w:sz w:val="22"/>
          <w:szCs w:val="22"/>
        </w:rPr>
        <w:t xml:space="preserve">Instead of periodic manual/vehicular USFD passes every few days, our onboard vision model performs a rolling visual health check on every regular train run — spotting surface-level fractures, missing fishplates, and obstructions that a scheduled USFD pass would miss between cycles.</w:t>
      </w:r>
    </w:p>
    <w:p>
      <w:pPr>
        <w:pStyle w:val="ListParagraph"/>
        <w:numPr>
          <w:ilvl w:val="0"/>
          <w:numId w:val="2"/>
        </w:numPr>
        <w:spacing w:after="80"/>
      </w:pPr>
      <w:r>
        <w:rPr>
          <w:sz w:val="22"/>
          <w:szCs w:val="22"/>
        </w:rPr>
        <w:t xml:space="preserve">We do not replace USFD's internal ultrasonic flaw detection (a different physical measurement — internal vs. surface-visible defects) — we add continuous coverage in between USFD cycles, at zero marginal hardware cost, using cameras already fitted to locomotives.</w:t>
      </w:r>
    </w:p>
    <w:p>
      <w:pPr>
        <w:pStyle w:val="ListParagraph"/>
        <w:numPr>
          <w:ilvl w:val="0"/>
          <w:numId w:val="2"/>
        </w:numPr>
        <w:spacing w:after="80"/>
      </w:pPr>
      <w:r>
        <w:rPr>
          <w:sz w:val="22"/>
          <w:szCs w:val="22"/>
        </w:rPr>
        <w:t xml:space="preserve">This turns every scheduled train into a moving inspection unit, addressing the core limitation search results confirm repeatedly: current inspection is 'time-consuming, perilous, and unreliable' because of shrinking repair windows at 130–160 km/h speeds.</w:t>
      </w:r>
    </w:p>
    <w:p>
      <w:pPr>
        <w:pStyle w:val="Heading2"/>
        <w:spacing w:after="120" w:before="280"/>
      </w:pPr>
      <w:r>
        <w:rPr>
          <w:b/>
          <w:bCs/>
          <w:color w:val="C1440E"/>
          <w:sz w:val="24"/>
          <w:szCs w:val="24"/>
        </w:rPr>
        <w:t xml:space="preserve">3.3 Emergency Braking Response (Complements Kavach)</w:t>
      </w:r>
    </w:p>
    <w:p>
      <w:pPr>
        <w:spacing w:after="140"/>
      </w:pPr>
      <w:r>
        <w:rPr>
          <w:sz w:val="22"/>
          <w:szCs w:val="22"/>
        </w:rPr>
        <w:t xml:space="preserve">When our vision system flags a track anomaly, it triggers a certified emergency-braking calculation and hands off to the same category of automatic brake application Kavach performs for signaling violations — but triggered by a visually detected physical obstruction rather than a signal aspect.</w:t>
      </w:r>
    </w:p>
    <w:p>
      <w:pPr>
        <w:pStyle w:val="ListParagraph"/>
        <w:numPr>
          <w:ilvl w:val="0"/>
          <w:numId w:val="2"/>
        </w:numPr>
        <w:spacing w:after="80"/>
      </w:pPr>
      <w:r>
        <w:rPr>
          <w:sz w:val="22"/>
          <w:szCs w:val="22"/>
        </w:rPr>
        <w:t xml:space="preserve">We do not replace Kavach's signaling-based collision protection — we extend automatic braking to a trigger type (visual obstruction) that signaling-based ATP cannot see.</w:t>
      </w:r>
    </w:p>
    <w:p>
      <w:pPr>
        <w:pStyle w:val="Heading2"/>
        <w:spacing w:after="120" w:before="280"/>
      </w:pPr>
      <w:r>
        <w:rPr>
          <w:b/>
          <w:bCs/>
          <w:color w:val="C1440E"/>
          <w:sz w:val="24"/>
          <w:szCs w:val="24"/>
        </w:rPr>
        <w:t xml:space="preserve">3.4 RDSO-Certified Deterministic Braking Formulas</w:t>
      </w:r>
    </w:p>
    <w:p>
      <w:pPr>
        <w:spacing w:after="140"/>
      </w:pPr>
      <w:r>
        <w:rPr>
          <w:sz w:val="22"/>
          <w:szCs w:val="22"/>
        </w:rPr>
        <w:t xml:space="preserve">Every braking distance our system outputs is computed by a hardcoded physics function — not generated by an AI model. This mirrors the same safety philosophy Kavach itself is built on: a certified, deterministic system, not a probabilistic one, is what gets regulatory approval for anything that touches brakes.</w:t>
      </w:r>
    </w:p>
    <w:p>
      <w:pPr>
        <w:pStyle w:val="ListParagraph"/>
        <w:numPr>
          <w:ilvl w:val="0"/>
          <w:numId w:val="2"/>
        </w:numPr>
        <w:spacing w:after="80"/>
      </w:pPr>
      <w:r>
        <w:rPr>
          <w:sz w:val="22"/>
          <w:szCs w:val="22"/>
        </w:rPr>
        <w:t xml:space="preserve">This is intentional positioning, not just a technical choice: it is our answer to the most likely mentor objection — 'why should anyone trust an AI to brake a train?' Our answer is that the AI never calculates the brake distance; a certified formula does.</w:t>
      </w:r>
    </w:p>
    <w:p>
      <w:pPr>
        <w:pStyle w:val="Heading2"/>
        <w:spacing w:after="120" w:before="280"/>
      </w:pPr>
      <w:r>
        <w:rPr>
          <w:b/>
          <w:bCs/>
          <w:color w:val="C1440E"/>
          <w:sz w:val="24"/>
          <w:szCs w:val="24"/>
        </w:rPr>
        <w:t xml:space="preserve">3.5 Zero New Hardware — Deployment Philosophy</w:t>
      </w:r>
    </w:p>
    <w:p>
      <w:pPr>
        <w:spacing w:after="140"/>
      </w:pPr>
      <w:r>
        <w:rPr>
          <w:sz w:val="22"/>
          <w:szCs w:val="22"/>
        </w:rPr>
        <w:t xml:space="preserve">Every input we use — loco-cab forward cameras, platform/FOB CCTV, overhead equipment cameras, train arrival telemetry — is equipment Indian Railways is already installing or has already installed (RailTel's ongoing CCTV rollout, standard loco-cab cameras). We are proposing a software and intelligence layer, not a procurement or civil-works project. This dramatically lowers the adoption barrier and pilot cost compared to Kavach's ₹50 lakh/km trackside hardware cost.</w:t>
      </w:r>
    </w:p>
    <w:p>
      <w:pPr>
        <w:pStyle w:val="Heading1"/>
        <w:pBdr>
          <w:bottom w:val="single" w:color="0B2545" w:sz="6" w:space="4"/>
        </w:pBdr>
        <w:spacing w:after="160" w:before="360"/>
      </w:pPr>
      <w:r>
        <w:rPr>
          <w:b/>
          <w:bCs/>
          <w:color w:val="0B2545"/>
          <w:sz w:val="30"/>
          <w:szCs w:val="30"/>
        </w:rPr>
        <w:t xml:space="preserve">4. Side-by-Side: Existing Systems vs. RailSuraksha AI</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600"/>
      </w:tblGrid>
      <w:tr>
        <w:trPr>
          <w:tblHeader/>
        </w:trPr>
        <w:tc>
          <w:tcPr>
            <w:tcW w:type="dxa" w:w="2600"/>
            <w:shd w:fill="0B2545" w:val="clear"/>
            <w:tcMar>
              <w:top w:type="dxa" w:w="100"/>
              <w:left w:type="dxa" w:w="120"/>
              <w:bottom w:type="dxa" w:w="100"/>
              <w:right w:type="dxa" w:w="120"/>
            </w:tcMar>
          </w:tcPr>
          <w:p>
            <w:r>
              <w:rPr>
                <w:b/>
                <w:bCs/>
                <w:color w:val="FFFFFF"/>
                <w:sz w:val="20"/>
                <w:szCs w:val="20"/>
              </w:rPr>
              <w:t xml:space="preserve">Capability</w:t>
            </w:r>
          </w:p>
        </w:tc>
        <w:tc>
          <w:tcPr>
            <w:tcW w:type="dxa" w:w="3600"/>
            <w:shd w:fill="0B2545" w:val="clear"/>
            <w:tcMar>
              <w:top w:type="dxa" w:w="100"/>
              <w:left w:type="dxa" w:w="120"/>
              <w:bottom w:type="dxa" w:w="100"/>
              <w:right w:type="dxa" w:w="120"/>
            </w:tcMar>
          </w:tcPr>
          <w:p>
            <w:r>
              <w:rPr>
                <w:b/>
                <w:bCs/>
                <w:color w:val="FFFFFF"/>
                <w:sz w:val="20"/>
                <w:szCs w:val="20"/>
              </w:rPr>
              <w:t xml:space="preserve">What Exists Today</w:t>
            </w:r>
          </w:p>
        </w:tc>
        <w:tc>
          <w:tcPr>
            <w:tcW w:type="dxa" w:w="3600"/>
            <w:shd w:fill="0B2545" w:val="clear"/>
            <w:tcMar>
              <w:top w:type="dxa" w:w="100"/>
              <w:left w:type="dxa" w:w="120"/>
              <w:bottom w:type="dxa" w:w="100"/>
              <w:right w:type="dxa" w:w="120"/>
            </w:tcMar>
          </w:tcPr>
          <w:p>
            <w:r>
              <w:rPr>
                <w:b/>
                <w:bCs/>
                <w:color w:val="FFFFFF"/>
                <w:sz w:val="20"/>
                <w:szCs w:val="20"/>
              </w:rPr>
              <w:t xml:space="preserve">What RailSuraksha AI Adds</w:t>
            </w:r>
          </w:p>
        </w:tc>
      </w:tr>
      <w:tr>
        <w:tc>
          <w:tcPr>
            <w:tcW w:type="dxa" w:w="2600"/>
            <w:shd w:fill="F5F7FA" w:val="clear"/>
            <w:tcMar>
              <w:top w:type="dxa" w:w="100"/>
              <w:left w:type="dxa" w:w="120"/>
              <w:bottom w:type="dxa" w:w="100"/>
              <w:right w:type="dxa" w:w="120"/>
            </w:tcMar>
          </w:tcPr>
          <w:p>
            <w:r>
              <w:rPr>
                <w:b w:val="false"/>
                <w:bCs w:val="false"/>
                <w:color w:val="222222"/>
                <w:sz w:val="20"/>
                <w:szCs w:val="20"/>
              </w:rPr>
              <w:t xml:space="preserve">Train-to-train collision protection</w:t>
            </w:r>
          </w:p>
        </w:tc>
        <w:tc>
          <w:tcPr>
            <w:tcW w:type="dxa" w:w="3600"/>
            <w:shd w:fill="F5F7FA" w:val="clear"/>
            <w:tcMar>
              <w:top w:type="dxa" w:w="100"/>
              <w:left w:type="dxa" w:w="120"/>
              <w:bottom w:type="dxa" w:w="100"/>
              <w:right w:type="dxa" w:w="120"/>
            </w:tcMar>
          </w:tcPr>
          <w:p>
            <w:r>
              <w:rPr>
                <w:b w:val="false"/>
                <w:bCs w:val="false"/>
                <w:color w:val="222222"/>
                <w:sz w:val="20"/>
                <w:szCs w:val="20"/>
              </w:rPr>
              <w:t xml:space="preserve">Kavach: signaling-based auto-brake, SPAD prevention, SoS broadcast (~4% network coverage)</w:t>
            </w:r>
          </w:p>
        </w:tc>
        <w:tc>
          <w:tcPr>
            <w:tcW w:type="dxa" w:w="3600"/>
            <w:shd w:fill="F5F7FA" w:val="clear"/>
            <w:tcMar>
              <w:top w:type="dxa" w:w="100"/>
              <w:left w:type="dxa" w:w="120"/>
              <w:bottom w:type="dxa" w:w="100"/>
              <w:right w:type="dxa" w:w="120"/>
            </w:tcMar>
          </w:tcPr>
          <w:p>
            <w:r>
              <w:rPr>
                <w:b w:val="false"/>
                <w:bCs w:val="false"/>
                <w:color w:val="222222"/>
                <w:sz w:val="20"/>
                <w:szCs w:val="20"/>
              </w:rPr>
              <w:t xml:space="preserve">Complements Kavach with a visual-obstruction trigger path Kavach's signaling logic cannot see</w:t>
            </w:r>
          </w:p>
        </w:tc>
      </w:tr>
      <w:tr>
        <w:tc>
          <w:tcPr>
            <w:tcW w:type="dxa" w:w="2600"/>
            <w:shd w:fill="FFFFFF" w:val="clear"/>
            <w:tcMar>
              <w:top w:type="dxa" w:w="100"/>
              <w:left w:type="dxa" w:w="120"/>
              <w:bottom w:type="dxa" w:w="100"/>
              <w:right w:type="dxa" w:w="120"/>
            </w:tcMar>
          </w:tcPr>
          <w:p>
            <w:r>
              <w:rPr>
                <w:b w:val="false"/>
                <w:bCs w:val="false"/>
                <w:color w:val="222222"/>
                <w:sz w:val="20"/>
                <w:szCs w:val="20"/>
              </w:rPr>
              <w:t xml:space="preserve">Track surface/fracture detection</w:t>
            </w:r>
          </w:p>
        </w:tc>
        <w:tc>
          <w:tcPr>
            <w:tcW w:type="dxa" w:w="3600"/>
            <w:shd w:fill="FFFFFF" w:val="clear"/>
            <w:tcMar>
              <w:top w:type="dxa" w:w="100"/>
              <w:left w:type="dxa" w:w="120"/>
              <w:bottom w:type="dxa" w:w="100"/>
              <w:right w:type="dxa" w:w="120"/>
            </w:tcMar>
          </w:tcPr>
          <w:p>
            <w:r>
              <w:rPr>
                <w:b w:val="false"/>
                <w:bCs w:val="false"/>
                <w:color w:val="222222"/>
                <w:sz w:val="20"/>
                <w:szCs w:val="20"/>
              </w:rPr>
              <w:t xml:space="preserve">USFD: periodic manual/vehicular ultrasonic testing, every few days per section</w:t>
            </w:r>
          </w:p>
        </w:tc>
        <w:tc>
          <w:tcPr>
            <w:tcW w:type="dxa" w:w="3600"/>
            <w:shd w:fill="FFFFFF" w:val="clear"/>
            <w:tcMar>
              <w:top w:type="dxa" w:w="100"/>
              <w:left w:type="dxa" w:w="120"/>
              <w:bottom w:type="dxa" w:w="100"/>
              <w:right w:type="dxa" w:w="120"/>
            </w:tcMar>
          </w:tcPr>
          <w:p>
            <w:r>
              <w:rPr>
                <w:b w:val="false"/>
                <w:bCs w:val="false"/>
                <w:color w:val="222222"/>
                <w:sz w:val="20"/>
                <w:szCs w:val="20"/>
              </w:rPr>
              <w:t xml:space="preserve">Continuous per-trip visual health check between USFD cycles, using existing loco cameras</w:t>
            </w:r>
          </w:p>
        </w:tc>
      </w:tr>
      <w:tr>
        <w:tc>
          <w:tcPr>
            <w:tcW w:type="dxa" w:w="2600"/>
            <w:shd w:fill="F5F7FA" w:val="clear"/>
            <w:tcMar>
              <w:top w:type="dxa" w:w="100"/>
              <w:left w:type="dxa" w:w="120"/>
              <w:bottom w:type="dxa" w:w="100"/>
              <w:right w:type="dxa" w:w="120"/>
            </w:tcMar>
          </w:tcPr>
          <w:p>
            <w:r>
              <w:rPr>
                <w:b w:val="false"/>
                <w:bCs w:val="false"/>
                <w:color w:val="222222"/>
                <w:sz w:val="20"/>
                <w:szCs w:val="20"/>
              </w:rPr>
              <w:t xml:space="preserve">Station crowd monitoring</w:t>
            </w:r>
          </w:p>
        </w:tc>
        <w:tc>
          <w:tcPr>
            <w:tcW w:type="dxa" w:w="3600"/>
            <w:shd w:fill="F5F7FA" w:val="clear"/>
            <w:tcMar>
              <w:top w:type="dxa" w:w="100"/>
              <w:left w:type="dxa" w:w="120"/>
              <w:bottom w:type="dxa" w:w="100"/>
              <w:right w:type="dxa" w:w="120"/>
            </w:tcMar>
          </w:tcPr>
          <w:p>
            <w:r>
              <w:rPr>
                <w:b w:val="false"/>
                <w:bCs w:val="false"/>
                <w:color w:val="222222"/>
                <w:sz w:val="20"/>
                <w:szCs w:val="20"/>
              </w:rPr>
              <w:t xml:space="preserve">RailTel/Assert AI: passenger counting, heatmaps, loitering &amp; unattended-object alerts</w:t>
            </w:r>
          </w:p>
        </w:tc>
        <w:tc>
          <w:tcPr>
            <w:tcW w:type="dxa" w:w="3600"/>
            <w:shd w:fill="F5F7FA" w:val="clear"/>
            <w:tcMar>
              <w:top w:type="dxa" w:w="100"/>
              <w:left w:type="dxa" w:w="120"/>
              <w:bottom w:type="dxa" w:w="100"/>
              <w:right w:type="dxa" w:w="120"/>
            </w:tcMar>
          </w:tcPr>
          <w:p>
            <w:r>
              <w:rPr>
                <w:b w:val="false"/>
                <w:bCs w:val="false"/>
                <w:color w:val="222222"/>
                <w:sz w:val="20"/>
                <w:szCs w:val="20"/>
              </w:rPr>
              <w:t xml:space="preserve">Feeds live crowd density into platform-assignment decisions in real time</w:t>
            </w:r>
          </w:p>
        </w:tc>
      </w:tr>
      <w:tr>
        <w:tc>
          <w:tcPr>
            <w:tcW w:type="dxa" w:w="2600"/>
            <w:shd w:fill="FFFFFF" w:val="clear"/>
            <w:tcMar>
              <w:top w:type="dxa" w:w="100"/>
              <w:left w:type="dxa" w:w="120"/>
              <w:bottom w:type="dxa" w:w="100"/>
              <w:right w:type="dxa" w:w="120"/>
            </w:tcMar>
          </w:tcPr>
          <w:p>
            <w:r>
              <w:rPr>
                <w:b w:val="false"/>
                <w:bCs w:val="false"/>
                <w:color w:val="222222"/>
                <w:sz w:val="20"/>
                <w:szCs w:val="20"/>
              </w:rPr>
              <w:t xml:space="preserve">Adjacent-platform coordination</w:t>
            </w:r>
          </w:p>
        </w:tc>
        <w:tc>
          <w:tcPr>
            <w:tcW w:type="dxa" w:w="3600"/>
            <w:shd w:fill="FFFFFF" w:val="clear"/>
            <w:tcMar>
              <w:top w:type="dxa" w:w="100"/>
              <w:left w:type="dxa" w:w="120"/>
              <w:bottom w:type="dxa" w:w="100"/>
              <w:right w:type="dxa" w:w="120"/>
            </w:tcMar>
          </w:tcPr>
          <w:p>
            <w:r>
              <w:rPr>
                <w:b w:val="false"/>
                <w:bCs w:val="false"/>
                <w:color w:val="222222"/>
                <w:sz w:val="20"/>
                <w:szCs w:val="20"/>
              </w:rPr>
              <w:t xml:space="preserve">Not present in any known deployed system</w:t>
            </w:r>
          </w:p>
        </w:tc>
        <w:tc>
          <w:tcPr>
            <w:tcW w:type="dxa" w:w="3600"/>
            <w:shd w:fill="FFFFFF" w:val="clear"/>
            <w:tcMar>
              <w:top w:type="dxa" w:w="100"/>
              <w:left w:type="dxa" w:w="120"/>
              <w:bottom w:type="dxa" w:w="100"/>
              <w:right w:type="dxa" w:w="120"/>
            </w:tcMar>
          </w:tcPr>
          <w:p>
            <w:r>
              <w:rPr>
                <w:b w:val="false"/>
                <w:bCs w:val="false"/>
                <w:color w:val="222222"/>
                <w:sz w:val="20"/>
                <w:szCs w:val="20"/>
              </w:rPr>
              <w:t xml:space="preserve">Deterministic 5-min hold + ML-extended clearance window (flagship feature)</w:t>
            </w:r>
          </w:p>
        </w:tc>
      </w:tr>
      <w:tr>
        <w:tc>
          <w:tcPr>
            <w:tcW w:type="dxa" w:w="2600"/>
            <w:shd w:fill="F5F7FA" w:val="clear"/>
            <w:tcMar>
              <w:top w:type="dxa" w:w="100"/>
              <w:left w:type="dxa" w:w="120"/>
              <w:bottom w:type="dxa" w:w="100"/>
              <w:right w:type="dxa" w:w="120"/>
            </w:tcMar>
          </w:tcPr>
          <w:p>
            <w:r>
              <w:rPr>
                <w:b w:val="false"/>
                <w:bCs w:val="false"/>
                <w:color w:val="222222"/>
                <w:sz w:val="20"/>
                <w:szCs w:val="20"/>
              </w:rPr>
              <w:t xml:space="preserve">Braking distance calculation</w:t>
            </w:r>
          </w:p>
        </w:tc>
        <w:tc>
          <w:tcPr>
            <w:tcW w:type="dxa" w:w="3600"/>
            <w:shd w:fill="F5F7FA" w:val="clear"/>
            <w:tcMar>
              <w:top w:type="dxa" w:w="100"/>
              <w:left w:type="dxa" w:w="120"/>
              <w:bottom w:type="dxa" w:w="100"/>
              <w:right w:type="dxa" w:w="120"/>
            </w:tcMar>
          </w:tcPr>
          <w:p>
            <w:r>
              <w:rPr>
                <w:b w:val="false"/>
                <w:bCs w:val="false"/>
                <w:color w:val="222222"/>
                <w:sz w:val="20"/>
                <w:szCs w:val="20"/>
              </w:rPr>
              <w:t xml:space="preserve">Kavach: certified onboard logic, signaling-triggered</w:t>
            </w:r>
          </w:p>
        </w:tc>
        <w:tc>
          <w:tcPr>
            <w:tcW w:type="dxa" w:w="3600"/>
            <w:shd w:fill="F5F7FA" w:val="clear"/>
            <w:tcMar>
              <w:top w:type="dxa" w:w="100"/>
              <w:left w:type="dxa" w:w="120"/>
              <w:bottom w:type="dxa" w:w="100"/>
              <w:right w:type="dxa" w:w="120"/>
            </w:tcMar>
          </w:tcPr>
          <w:p>
            <w:r>
              <w:rPr>
                <w:b w:val="false"/>
                <w:bCs w:val="false"/>
                <w:color w:val="222222"/>
                <w:sz w:val="20"/>
                <w:szCs w:val="20"/>
              </w:rPr>
              <w:t xml:space="preserve">Certified deterministic formula, extended to vision-triggered incidents</w:t>
            </w:r>
          </w:p>
        </w:tc>
      </w:tr>
      <w:tr>
        <w:tc>
          <w:tcPr>
            <w:tcW w:type="dxa" w:w="2600"/>
            <w:shd w:fill="FFFFFF" w:val="clear"/>
            <w:tcMar>
              <w:top w:type="dxa" w:w="100"/>
              <w:left w:type="dxa" w:w="120"/>
              <w:bottom w:type="dxa" w:w="100"/>
              <w:right w:type="dxa" w:w="120"/>
            </w:tcMar>
          </w:tcPr>
          <w:p>
            <w:r>
              <w:rPr>
                <w:b w:val="false"/>
                <w:bCs w:val="false"/>
                <w:color w:val="222222"/>
                <w:sz w:val="20"/>
                <w:szCs w:val="20"/>
              </w:rPr>
              <w:t xml:space="preserve">New hardware required</w:t>
            </w:r>
          </w:p>
        </w:tc>
        <w:tc>
          <w:tcPr>
            <w:tcW w:type="dxa" w:w="3600"/>
            <w:shd w:fill="FFFFFF" w:val="clear"/>
            <w:tcMar>
              <w:top w:type="dxa" w:w="100"/>
              <w:left w:type="dxa" w:w="120"/>
              <w:bottom w:type="dxa" w:w="100"/>
              <w:right w:type="dxa" w:w="120"/>
            </w:tcMar>
          </w:tcPr>
          <w:p>
            <w:r>
              <w:rPr>
                <w:b w:val="false"/>
                <w:bCs w:val="false"/>
                <w:color w:val="222222"/>
                <w:sz w:val="20"/>
                <w:szCs w:val="20"/>
              </w:rPr>
              <w:t xml:space="preserve">Kavach: dedicated trackside + onboard hardware (₹50L/km + ₹70L/train)</w:t>
            </w:r>
          </w:p>
        </w:tc>
        <w:tc>
          <w:tcPr>
            <w:tcW w:type="dxa" w:w="3600"/>
            <w:shd w:fill="FFFFFF" w:val="clear"/>
            <w:tcMar>
              <w:top w:type="dxa" w:w="100"/>
              <w:left w:type="dxa" w:w="120"/>
              <w:bottom w:type="dxa" w:w="100"/>
              <w:right w:type="dxa" w:w="120"/>
            </w:tcMar>
          </w:tcPr>
          <w:p>
            <w:r>
              <w:rPr>
                <w:b w:val="false"/>
                <w:bCs w:val="false"/>
                <w:color w:val="222222"/>
                <w:sz w:val="20"/>
                <w:szCs w:val="20"/>
              </w:rPr>
              <w:t xml:space="preserve">None — runs on existing CCTV, loco cameras, and telemetry</w:t>
            </w:r>
          </w:p>
        </w:tc>
      </w:tr>
    </w:tbl>
    <w:p>
      <w:pPr>
        <w:pStyle w:val="Heading1"/>
        <w:pBdr>
          <w:bottom w:val="single" w:color="0B2545" w:sz="6" w:space="4"/>
        </w:pBdr>
        <w:spacing w:after="160" w:before="360"/>
      </w:pPr>
      <w:r>
        <w:rPr>
          <w:b/>
          <w:bCs/>
          <w:color w:val="0B2545"/>
          <w:sz w:val="30"/>
          <w:szCs w:val="30"/>
        </w:rPr>
        <w:t xml:space="preserve">5. How to Frame This for Judges</w:t>
      </w:r>
    </w:p>
    <w:p>
      <w:pPr>
        <w:spacing w:after="140"/>
      </w:pPr>
      <w:r>
        <w:rPr>
          <w:sz w:val="22"/>
          <w:szCs w:val="22"/>
        </w:rPr>
        <w:t xml:space="preserve">The strongest, most defensible framing is: "We are not competing with Kavach, USFD, or RailTel's CCTV analytics — we are the coordination layer above all three that closes a gap none of them individually address, using only sensors that are already being installed."</w:t>
      </w:r>
    </w:p>
    <w:p>
      <w:pPr>
        <w:spacing w:after="140"/>
      </w:pPr>
      <w:r>
        <w:rPr>
          <w:sz w:val="22"/>
          <w:szCs w:val="22"/>
        </w:rPr>
        <w:t xml:space="preserve">The one line most likely to earn credit from a mentor who knows the space: naming Kavach's real coverage number (2,200 of ~68,000 route km) shows you understand this isn't a solved problem nationally, and that a low-hardware-cost, software-first layer is a realistic near-term complement rather than a replacement.</w:t>
      </w:r>
    </w:p>
    <w:p>
      <w:pPr>
        <w:pStyle w:val="Heading1"/>
        <w:pBdr>
          <w:bottom w:val="single" w:color="0B2545" w:sz="6" w:space="4"/>
        </w:pBdr>
        <w:spacing w:after="160" w:before="360"/>
      </w:pPr>
      <w:r>
        <w:rPr>
          <w:b/>
          <w:bCs/>
          <w:color w:val="0B2545"/>
          <w:sz w:val="30"/>
          <w:szCs w:val="30"/>
        </w:rPr>
        <w:t xml:space="preserve">6. Advancing Security — Preventing Misuse to Access Government Data</w:t>
      </w:r>
    </w:p>
    <w:p>
      <w:pPr>
        <w:spacing w:after="140"/>
      </w:pPr>
      <w:r>
        <w:rPr>
          <w:sz w:val="22"/>
          <w:szCs w:val="22"/>
        </w:rPr>
        <w:t xml:space="preserve">Because this system would sit close to live railway operational data (train positions, CCTV feeds, platform assignments, telemetry), it must be designed so that no part of it can become a backdoor into government systems. The following measures should be presented as your security roadmap, not as things already built — judges respect an honest 'here is our plan' over an overclaimed 'this is already secure.'</w:t>
      </w:r>
    </w:p>
    <w:p>
      <w:pPr>
        <w:pStyle w:val="Heading2"/>
        <w:spacing w:after="120" w:before="280"/>
      </w:pPr>
      <w:r>
        <w:rPr>
          <w:b/>
          <w:bCs/>
          <w:color w:val="C1440E"/>
          <w:sz w:val="24"/>
          <w:szCs w:val="24"/>
        </w:rPr>
        <w:t xml:space="preserve">6.1 Access Control &amp; Identity</w:t>
      </w:r>
    </w:p>
    <w:p>
      <w:pPr>
        <w:pStyle w:val="ListParagraph"/>
        <w:numPr>
          <w:ilvl w:val="0"/>
          <w:numId w:val="2"/>
        </w:numPr>
        <w:spacing w:after="80"/>
      </w:pPr>
      <w:r>
        <w:rPr>
          <w:sz w:val="22"/>
          <w:szCs w:val="22"/>
        </w:rPr>
        <w:t xml:space="preserve">Role-Based Access Control (RBAC): station masters, dispatchers, auditors, and maintenance engineers each get the minimum access needed for their role — no shared admin logins.</w:t>
      </w:r>
    </w:p>
    <w:p>
      <w:pPr>
        <w:pStyle w:val="ListParagraph"/>
        <w:numPr>
          <w:ilvl w:val="0"/>
          <w:numId w:val="2"/>
        </w:numPr>
        <w:spacing w:after="80"/>
      </w:pPr>
      <w:r>
        <w:rPr>
          <w:sz w:val="22"/>
          <w:szCs w:val="22"/>
        </w:rPr>
        <w:t xml:space="preserve">Multi-factor authentication (MFA) for every human login to the command center; hardware security keys for privileged roles.</w:t>
      </w:r>
    </w:p>
    <w:p>
      <w:pPr>
        <w:pStyle w:val="ListParagraph"/>
        <w:numPr>
          <w:ilvl w:val="0"/>
          <w:numId w:val="2"/>
        </w:numPr>
        <w:spacing w:after="80"/>
      </w:pPr>
      <w:r>
        <w:rPr>
          <w:sz w:val="22"/>
          <w:szCs w:val="22"/>
        </w:rPr>
        <w:t xml:space="preserve">OAuth 2.0 / short-lived JWT tokens for all internal service-to-service API calls — no static, long-lived API keys embedded in code.</w:t>
      </w:r>
    </w:p>
    <w:p>
      <w:pPr>
        <w:pStyle w:val="Heading2"/>
        <w:spacing w:after="120" w:before="280"/>
      </w:pPr>
      <w:r>
        <w:rPr>
          <w:b/>
          <w:bCs/>
          <w:color w:val="C1440E"/>
          <w:sz w:val="24"/>
          <w:szCs w:val="24"/>
        </w:rPr>
        <w:t xml:space="preserve">6.2 Network &amp; Infrastructure Isolation</w:t>
      </w:r>
    </w:p>
    <w:p>
      <w:pPr>
        <w:pStyle w:val="ListParagraph"/>
        <w:numPr>
          <w:ilvl w:val="0"/>
          <w:numId w:val="2"/>
        </w:numPr>
        <w:spacing w:after="80"/>
      </w:pPr>
      <w:r>
        <w:rPr>
          <w:sz w:val="22"/>
          <w:szCs w:val="22"/>
        </w:rPr>
        <w:t xml:space="preserve">Air-gapped or tightly firewalled deployment for anything touching live signaling or braking logic — no direct path from the public internet to safety-critical components.</w:t>
      </w:r>
    </w:p>
    <w:p>
      <w:pPr>
        <w:pStyle w:val="ListParagraph"/>
        <w:numPr>
          <w:ilvl w:val="0"/>
          <w:numId w:val="2"/>
        </w:numPr>
        <w:spacing w:after="80"/>
      </w:pPr>
      <w:r>
        <w:rPr>
          <w:sz w:val="22"/>
          <w:szCs w:val="22"/>
        </w:rPr>
        <w:t xml:space="preserve">Network segmentation: CV inference (edge), dispatch logic (control room), and any public-facing dashboard live in separate network zones with controlled one-way data flow where possible.</w:t>
      </w:r>
    </w:p>
    <w:p>
      <w:pPr>
        <w:pStyle w:val="ListParagraph"/>
        <w:numPr>
          <w:ilvl w:val="0"/>
          <w:numId w:val="2"/>
        </w:numPr>
        <w:spacing w:after="80"/>
      </w:pPr>
      <w:r>
        <w:rPr>
          <w:sz w:val="22"/>
          <w:szCs w:val="22"/>
        </w:rPr>
        <w:t xml:space="preserve">All data in transit encrypted with TLS 1.3; all stored data (video, logs, telemetry) encrypted at rest (AES-256).</w:t>
      </w:r>
    </w:p>
    <w:p>
      <w:pPr>
        <w:pStyle w:val="Heading2"/>
        <w:spacing w:after="120" w:before="280"/>
      </w:pPr>
      <w:r>
        <w:rPr>
          <w:b/>
          <w:bCs/>
          <w:color w:val="C1440E"/>
          <w:sz w:val="24"/>
          <w:szCs w:val="24"/>
        </w:rPr>
        <w:t xml:space="preserve">6.3 AI-Specific Safeguards</w:t>
      </w:r>
    </w:p>
    <w:p>
      <w:pPr>
        <w:pStyle w:val="ListParagraph"/>
        <w:numPr>
          <w:ilvl w:val="0"/>
          <w:numId w:val="2"/>
        </w:numPr>
        <w:spacing w:after="80"/>
      </w:pPr>
      <w:r>
        <w:rPr>
          <w:sz w:val="22"/>
          <w:szCs w:val="22"/>
        </w:rPr>
        <w:t xml:space="preserve">Human-in-the-loop gate: the AI agents recommend; a human dispatcher or the deterministic rule engine authorizes any action with real-world safety consequence. No LLM output ever directly actuates hardware.</w:t>
      </w:r>
    </w:p>
    <w:p>
      <w:pPr>
        <w:pStyle w:val="ListParagraph"/>
        <w:numPr>
          <w:ilvl w:val="0"/>
          <w:numId w:val="2"/>
        </w:numPr>
        <w:spacing w:after="80"/>
      </w:pPr>
      <w:r>
        <w:rPr>
          <w:sz w:val="22"/>
          <w:szCs w:val="22"/>
        </w:rPr>
        <w:t xml:space="preserve">Prompt-injection and adversarial-input hardening for any agent that ingests external text (e.g., incident descriptions) — sanitize and constrain inputs before they reach a model.</w:t>
      </w:r>
    </w:p>
    <w:p>
      <w:pPr>
        <w:pStyle w:val="ListParagraph"/>
        <w:numPr>
          <w:ilvl w:val="0"/>
          <w:numId w:val="2"/>
        </w:numPr>
        <w:spacing w:after="80"/>
      </w:pPr>
      <w:r>
        <w:rPr>
          <w:sz w:val="22"/>
          <w:szCs w:val="22"/>
        </w:rPr>
        <w:t xml:space="preserve">Adversarial-robustness testing on the vision models themselves, so a manipulated image (e.g., a sticker or projection on the track) can't trick detection — a known attack class against CV safety systems.</w:t>
      </w:r>
    </w:p>
    <w:p>
      <w:pPr>
        <w:pStyle w:val="Heading2"/>
        <w:spacing w:after="120" w:before="280"/>
      </w:pPr>
      <w:r>
        <w:rPr>
          <w:b/>
          <w:bCs/>
          <w:color w:val="C1440E"/>
          <w:sz w:val="24"/>
          <w:szCs w:val="24"/>
        </w:rPr>
        <w:t xml:space="preserve">6.4 Data Governance</w:t>
      </w:r>
    </w:p>
    <w:p>
      <w:pPr>
        <w:pStyle w:val="ListParagraph"/>
        <w:numPr>
          <w:ilvl w:val="0"/>
          <w:numId w:val="2"/>
        </w:numPr>
        <w:spacing w:after="80"/>
      </w:pPr>
      <w:r>
        <w:rPr>
          <w:sz w:val="22"/>
          <w:szCs w:val="22"/>
        </w:rPr>
        <w:t xml:space="preserve">Data minimization: store only what operations require (e.g., blur/anonymize faces in crowd-density footage where identity isn't needed for the safety function).</w:t>
      </w:r>
    </w:p>
    <w:p>
      <w:pPr>
        <w:pStyle w:val="ListParagraph"/>
        <w:numPr>
          <w:ilvl w:val="0"/>
          <w:numId w:val="2"/>
        </w:numPr>
        <w:spacing w:after="80"/>
      </w:pPr>
      <w:r>
        <w:rPr>
          <w:sz w:val="22"/>
          <w:szCs w:val="22"/>
        </w:rPr>
        <w:t xml:space="preserve">Compliance alignment with CERT-In guidelines and India's Digital Personal Data Protection (DPDP) Act for any footage or data that could contain personal information.</w:t>
      </w:r>
    </w:p>
    <w:p>
      <w:pPr>
        <w:pStyle w:val="ListParagraph"/>
        <w:numPr>
          <w:ilvl w:val="0"/>
          <w:numId w:val="2"/>
        </w:numPr>
        <w:spacing w:after="80"/>
      </w:pPr>
      <w:r>
        <w:rPr>
          <w:sz w:val="22"/>
          <w:szCs w:val="22"/>
        </w:rPr>
        <w:t xml:space="preserve">Full audit logging: every access, query, and configuration change is logged immutably, with alerting on anomalous access patterns (e.g., bulk data export, off-hours access).</w:t>
      </w:r>
    </w:p>
    <w:p>
      <w:pPr>
        <w:pStyle w:val="Heading2"/>
        <w:spacing w:after="120" w:before="280"/>
      </w:pPr>
      <w:r>
        <w:rPr>
          <w:b/>
          <w:bCs/>
          <w:color w:val="C1440E"/>
          <w:sz w:val="24"/>
          <w:szCs w:val="24"/>
        </w:rPr>
        <w:t xml:space="preserve">6.5 Ongoing Verification</w:t>
      </w:r>
    </w:p>
    <w:p>
      <w:pPr>
        <w:pStyle w:val="ListParagraph"/>
        <w:numPr>
          <w:ilvl w:val="0"/>
          <w:numId w:val="2"/>
        </w:numPr>
        <w:spacing w:after="80"/>
      </w:pPr>
      <w:r>
        <w:rPr>
          <w:sz w:val="22"/>
          <w:szCs w:val="22"/>
        </w:rPr>
        <w:t xml:space="preserve">Independent third-party penetration testing and a CERT-In empanelled security audit before any live pilot, repeated on a regular cycle after deployment.</w:t>
      </w:r>
    </w:p>
    <w:p>
      <w:pPr>
        <w:pStyle w:val="ListParagraph"/>
        <w:numPr>
          <w:ilvl w:val="0"/>
          <w:numId w:val="2"/>
        </w:numPr>
        <w:spacing w:after="80"/>
      </w:pPr>
      <w:r>
        <w:rPr>
          <w:sz w:val="22"/>
          <w:szCs w:val="22"/>
        </w:rPr>
        <w:t xml:space="preserve">Bug bounty / responsible disclosure channel once past prototype stage, so vulnerabilities are reported rather than exploited.</w:t>
      </w:r>
    </w:p>
    <w:p>
      <w:pPr>
        <w:pStyle w:val="ListParagraph"/>
        <w:numPr>
          <w:ilvl w:val="0"/>
          <w:numId w:val="2"/>
        </w:numPr>
        <w:spacing w:after="80"/>
      </w:pPr>
      <w:r>
        <w:rPr>
          <w:sz w:val="22"/>
          <w:szCs w:val="22"/>
        </w:rPr>
        <w:t xml:space="preserve">Rate limiting and anomaly detection on every API endpoint to blunt automated scraping or credential-stuffing attempts.</w:t>
      </w:r>
    </w:p>
    <w:p>
      <w:pPr>
        <w:spacing w:after="140"/>
      </w:pPr>
      <w:r>
        <w:rPr>
          <w:i/>
          <w:iCs/>
          <w:sz w:val="22"/>
          <w:szCs w:val="22"/>
        </w:rPr>
        <w:t xml:space="preserve">Presented together, this gives judges a credible answer to "how do we know this won't become an attack surface": layered access control, network isolation for anything safety-critical, a human-authorization gate on every AI recommendation, and independent audits before go-live — the same posture any critical national infrastructure system is expected to meet.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2026-08-19T13:17:55.948Z</dcterms:created>
  <dcterms:modified xsi:type="dcterms:W3CDTF">2026-08-19T13:17:55.963Z</dcterms:modified>
</cp:coreProperties>
</file>

<file path=docProps/custom.xml><?xml version="1.0" encoding="utf-8"?>
<Properties xmlns="http://schemas.openxmlformats.org/officeDocument/2006/custom-properties" xmlns:vt="http://schemas.openxmlformats.org/officeDocument/2006/docPropsVTypes"/>
</file>