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3A3FB" w14:textId="00839861" w:rsidR="006A39DE" w:rsidRDefault="0066174C" w:rsidP="006A39DE">
      <w:pPr>
        <w:pStyle w:val="Heading1"/>
      </w:pPr>
      <w:r>
        <w:t>Data Report – Stock markets, banks and growth: Panel evidence</w:t>
      </w:r>
    </w:p>
    <w:p w14:paraId="6896B43D" w14:textId="77777777" w:rsidR="006A39DE" w:rsidRDefault="006A39DE" w:rsidP="006A39DE"/>
    <w:tbl>
      <w:tblPr>
        <w:tblStyle w:val="TableGrid"/>
        <w:tblW w:w="0" w:type="auto"/>
        <w:tblLook w:val="04A0" w:firstRow="1" w:lastRow="0" w:firstColumn="1" w:lastColumn="0" w:noHBand="0" w:noVBand="1"/>
      </w:tblPr>
      <w:tblGrid>
        <w:gridCol w:w="2547"/>
        <w:gridCol w:w="6469"/>
      </w:tblGrid>
      <w:tr w:rsidR="006A39DE" w14:paraId="3E50267B" w14:textId="77777777" w:rsidTr="0051009C">
        <w:tc>
          <w:tcPr>
            <w:tcW w:w="2547" w:type="dxa"/>
            <w:shd w:val="clear" w:color="auto" w:fill="auto"/>
          </w:tcPr>
          <w:p w14:paraId="788D8344" w14:textId="6FBCF20B" w:rsidR="006A39DE" w:rsidRDefault="006A39DE" w:rsidP="004424B3">
            <w:r w:rsidRPr="00053731">
              <w:t>Title</w:t>
            </w:r>
            <w:r w:rsidR="004424B3">
              <w:t xml:space="preserve"> </w:t>
            </w:r>
          </w:p>
        </w:tc>
        <w:tc>
          <w:tcPr>
            <w:tcW w:w="6469" w:type="dxa"/>
          </w:tcPr>
          <w:p w14:paraId="67F1B240" w14:textId="04843E7D" w:rsidR="006A39DE" w:rsidRDefault="0066174C" w:rsidP="0051009C">
            <w:r>
              <w:t>Stock markets, banks and growth: Panel evidence</w:t>
            </w:r>
          </w:p>
        </w:tc>
      </w:tr>
    </w:tbl>
    <w:p w14:paraId="23E0FF5F" w14:textId="77777777" w:rsidR="006A39DE" w:rsidRDefault="006A39DE" w:rsidP="006A39DE">
      <w:pPr>
        <w:rPr>
          <w:b/>
          <w:sz w:val="32"/>
        </w:rPr>
      </w:pPr>
    </w:p>
    <w:p w14:paraId="09B1AC51" w14:textId="77777777" w:rsidR="000E1783" w:rsidRPr="00C87BD6" w:rsidRDefault="000E1783" w:rsidP="006A39DE">
      <w:pPr>
        <w:rPr>
          <w:b/>
          <w:sz w:val="32"/>
        </w:rPr>
      </w:pPr>
    </w:p>
    <w:p w14:paraId="002C59E0" w14:textId="77777777" w:rsidR="006A39DE" w:rsidRPr="006C358E" w:rsidRDefault="006A39DE" w:rsidP="006A39DE">
      <w:pPr>
        <w:rPr>
          <w:b/>
          <w:i/>
        </w:rPr>
      </w:pPr>
      <w:r w:rsidRPr="006C358E">
        <w:rPr>
          <w:b/>
          <w:i/>
        </w:rPr>
        <w:t>Organization</w:t>
      </w:r>
    </w:p>
    <w:tbl>
      <w:tblPr>
        <w:tblStyle w:val="TableGrid"/>
        <w:tblW w:w="0" w:type="auto"/>
        <w:tblLook w:val="04A0" w:firstRow="1" w:lastRow="0" w:firstColumn="1" w:lastColumn="0" w:noHBand="0" w:noVBand="1"/>
      </w:tblPr>
      <w:tblGrid>
        <w:gridCol w:w="2547"/>
        <w:gridCol w:w="6469"/>
      </w:tblGrid>
      <w:tr w:rsidR="006A39DE" w:rsidRPr="0028031A" w14:paraId="52ED835B" w14:textId="77777777" w:rsidTr="0051009C">
        <w:tc>
          <w:tcPr>
            <w:tcW w:w="2547" w:type="dxa"/>
          </w:tcPr>
          <w:p w14:paraId="40808D90" w14:textId="283CA448" w:rsidR="006A39DE" w:rsidRPr="00053731" w:rsidRDefault="006A39DE" w:rsidP="004424B3">
            <w:r w:rsidRPr="00053731">
              <w:t>Author</w:t>
            </w:r>
            <w:r w:rsidR="004424B3">
              <w:t xml:space="preserve"> </w:t>
            </w:r>
          </w:p>
        </w:tc>
        <w:tc>
          <w:tcPr>
            <w:tcW w:w="6469" w:type="dxa"/>
          </w:tcPr>
          <w:p w14:paraId="3FF53E15" w14:textId="77777777" w:rsidR="006A39DE" w:rsidRDefault="0066174C" w:rsidP="0051009C">
            <w:r>
              <w:t>T. Beck</w:t>
            </w:r>
          </w:p>
          <w:p w14:paraId="1EC3A715" w14:textId="541E3029" w:rsidR="0066174C" w:rsidRPr="0028031A" w:rsidRDefault="0066174C" w:rsidP="0051009C">
            <w:r>
              <w:t>R. Levine</w:t>
            </w:r>
          </w:p>
        </w:tc>
      </w:tr>
      <w:tr w:rsidR="006A39DE" w:rsidRPr="0028031A" w14:paraId="094BC62E" w14:textId="77777777" w:rsidTr="0051009C">
        <w:tc>
          <w:tcPr>
            <w:tcW w:w="2547" w:type="dxa"/>
          </w:tcPr>
          <w:p w14:paraId="7CD512C5" w14:textId="2A3C6AE2" w:rsidR="006A39DE" w:rsidRPr="00053731" w:rsidRDefault="006A39DE" w:rsidP="004424B3">
            <w:r w:rsidRPr="00053731">
              <w:t>Affiliation</w:t>
            </w:r>
          </w:p>
        </w:tc>
        <w:tc>
          <w:tcPr>
            <w:tcW w:w="6469" w:type="dxa"/>
          </w:tcPr>
          <w:p w14:paraId="153E122B" w14:textId="37D0C5D4" w:rsidR="006A39DE" w:rsidRPr="0028031A" w:rsidRDefault="0066174C" w:rsidP="0051009C">
            <w:r>
              <w:t>World Bank</w:t>
            </w:r>
          </w:p>
        </w:tc>
      </w:tr>
      <w:tr w:rsidR="006A39DE" w:rsidRPr="0028031A" w14:paraId="1ADEAD8B" w14:textId="77777777" w:rsidTr="0051009C">
        <w:tc>
          <w:tcPr>
            <w:tcW w:w="2547" w:type="dxa"/>
          </w:tcPr>
          <w:p w14:paraId="3AFE7BEC" w14:textId="4335AD89" w:rsidR="006A39DE" w:rsidRPr="0028031A" w:rsidRDefault="006A39DE" w:rsidP="004424B3">
            <w:r w:rsidRPr="0028031A">
              <w:t xml:space="preserve">Email </w:t>
            </w:r>
          </w:p>
        </w:tc>
        <w:tc>
          <w:tcPr>
            <w:tcW w:w="6469" w:type="dxa"/>
          </w:tcPr>
          <w:p w14:paraId="4FE4E2D4" w14:textId="302B4AFE" w:rsidR="006A39DE" w:rsidRPr="0028031A" w:rsidRDefault="0066174C" w:rsidP="0051009C">
            <w:r w:rsidRPr="0066174C">
              <w:t>thorsten.beck.1@city.ac.uk</w:t>
            </w:r>
          </w:p>
        </w:tc>
      </w:tr>
      <w:tr w:rsidR="006A39DE" w:rsidRPr="0028031A" w14:paraId="0B6FA16A" w14:textId="77777777" w:rsidTr="0051009C">
        <w:tc>
          <w:tcPr>
            <w:tcW w:w="2547" w:type="dxa"/>
          </w:tcPr>
          <w:p w14:paraId="6BB46EC2" w14:textId="506FCA77" w:rsidR="006A39DE" w:rsidRPr="00053731" w:rsidRDefault="006A39DE" w:rsidP="004424B3">
            <w:r w:rsidRPr="00053731">
              <w:t>Distributor</w:t>
            </w:r>
          </w:p>
        </w:tc>
        <w:tc>
          <w:tcPr>
            <w:tcW w:w="6469" w:type="dxa"/>
          </w:tcPr>
          <w:p w14:paraId="0409EA56" w14:textId="43488ECB" w:rsidR="006A39DE" w:rsidRPr="0028031A" w:rsidRDefault="0066174C" w:rsidP="0051009C">
            <w:proofErr w:type="spellStart"/>
            <w:r>
              <w:t>DataverseNL</w:t>
            </w:r>
            <w:proofErr w:type="spellEnd"/>
          </w:p>
        </w:tc>
      </w:tr>
    </w:tbl>
    <w:p w14:paraId="54900D83" w14:textId="77777777" w:rsidR="006A39DE" w:rsidRDefault="006A39DE" w:rsidP="006A39DE"/>
    <w:p w14:paraId="356348A9" w14:textId="77777777" w:rsidR="000E1783" w:rsidRPr="0028031A" w:rsidRDefault="000E1783" w:rsidP="006A39DE"/>
    <w:p w14:paraId="3CE74EB7" w14:textId="77777777" w:rsidR="006A39DE" w:rsidRPr="0028031A" w:rsidRDefault="006A39DE" w:rsidP="006A39DE">
      <w:pPr>
        <w:rPr>
          <w:b/>
          <w:i/>
        </w:rPr>
      </w:pPr>
      <w:r w:rsidRPr="0028031A">
        <w:rPr>
          <w:b/>
          <w:i/>
        </w:rPr>
        <w:t>Research context</w:t>
      </w:r>
    </w:p>
    <w:tbl>
      <w:tblPr>
        <w:tblStyle w:val="TableGrid"/>
        <w:tblW w:w="0" w:type="auto"/>
        <w:tblLook w:val="04A0" w:firstRow="1" w:lastRow="0" w:firstColumn="1" w:lastColumn="0" w:noHBand="0" w:noVBand="1"/>
      </w:tblPr>
      <w:tblGrid>
        <w:gridCol w:w="2547"/>
        <w:gridCol w:w="6469"/>
      </w:tblGrid>
      <w:tr w:rsidR="006A39DE" w:rsidRPr="0028031A" w14:paraId="32CD8422" w14:textId="77777777" w:rsidTr="0051009C">
        <w:tc>
          <w:tcPr>
            <w:tcW w:w="2547" w:type="dxa"/>
          </w:tcPr>
          <w:p w14:paraId="10C39BB9" w14:textId="7952863C" w:rsidR="006A39DE" w:rsidRPr="0028031A" w:rsidRDefault="006A39DE" w:rsidP="004424B3">
            <w:r w:rsidRPr="00053731">
              <w:t>Description</w:t>
            </w:r>
            <w:r w:rsidR="004424B3">
              <w:t xml:space="preserve"> </w:t>
            </w:r>
          </w:p>
        </w:tc>
        <w:tc>
          <w:tcPr>
            <w:tcW w:w="6469" w:type="dxa"/>
          </w:tcPr>
          <w:p w14:paraId="3B39C87F" w14:textId="72B30C45" w:rsidR="006A39DE" w:rsidRPr="0028031A" w:rsidRDefault="0066174C" w:rsidP="0051009C">
            <w:r>
              <w:t>This paper investigates the impact of stock markets and banks on economic growth using a panel data set for the period 1976-98 and applying recent GMM techniques developed for dynamic panels. On balance, we find that stock markets and banks positively influence economic growth and these findings are not due to potential biases induced by simultaneity, omitted variables or unobserved country-specific effects.</w:t>
            </w:r>
          </w:p>
        </w:tc>
      </w:tr>
      <w:tr w:rsidR="006A39DE" w:rsidRPr="0028031A" w14:paraId="57C9CDAB" w14:textId="77777777" w:rsidTr="0051009C">
        <w:tc>
          <w:tcPr>
            <w:tcW w:w="2547" w:type="dxa"/>
          </w:tcPr>
          <w:p w14:paraId="1152D795" w14:textId="6CA29962" w:rsidR="006A39DE" w:rsidRPr="0028031A" w:rsidRDefault="006A39DE" w:rsidP="004424B3">
            <w:r w:rsidRPr="00053731">
              <w:t>Publication</w:t>
            </w:r>
            <w:r w:rsidR="004D6B19">
              <w:t xml:space="preserve"> </w:t>
            </w:r>
          </w:p>
        </w:tc>
        <w:tc>
          <w:tcPr>
            <w:tcW w:w="6469" w:type="dxa"/>
          </w:tcPr>
          <w:p w14:paraId="322530B1" w14:textId="45F7B72F" w:rsidR="006A39DE" w:rsidRPr="0028031A" w:rsidRDefault="0066174C" w:rsidP="0051009C">
            <w:r w:rsidRPr="0066174C">
              <w:t>Beck, T., &amp; Levine, R. (2004). Stock markets, banks, and growth: Panel evidence. Journal of Banking &amp; Finance, 28(3), 423-442.</w:t>
            </w:r>
            <w:r>
              <w:t xml:space="preserve"> </w:t>
            </w:r>
            <w:proofErr w:type="spellStart"/>
            <w:r>
              <w:t>DOI:</w:t>
            </w:r>
            <w:r w:rsidRPr="0066174C">
              <w:t>https</w:t>
            </w:r>
            <w:proofErr w:type="spellEnd"/>
            <w:r w:rsidRPr="0066174C">
              <w:t>://doi.org/10.1016/S0378-4266(02)00408-9</w:t>
            </w:r>
          </w:p>
        </w:tc>
      </w:tr>
      <w:tr w:rsidR="006A39DE" w:rsidRPr="0028031A" w14:paraId="1A99F4EA" w14:textId="77777777" w:rsidTr="0051009C">
        <w:tc>
          <w:tcPr>
            <w:tcW w:w="2547" w:type="dxa"/>
          </w:tcPr>
          <w:p w14:paraId="73E3EB04" w14:textId="1E1E167F" w:rsidR="006A39DE" w:rsidRPr="0028031A" w:rsidRDefault="006A39DE" w:rsidP="004424B3">
            <w:r w:rsidRPr="00053731">
              <w:t>Keywords</w:t>
            </w:r>
          </w:p>
        </w:tc>
        <w:tc>
          <w:tcPr>
            <w:tcW w:w="6469" w:type="dxa"/>
          </w:tcPr>
          <w:p w14:paraId="09BBE6C0" w14:textId="4EE6CE73" w:rsidR="006A39DE" w:rsidRPr="0028031A" w:rsidRDefault="0066174C" w:rsidP="0051009C">
            <w:pPr>
              <w:pStyle w:val="CommentText"/>
              <w:rPr>
                <w:sz w:val="21"/>
                <w:szCs w:val="21"/>
              </w:rPr>
            </w:pPr>
            <w:r>
              <w:rPr>
                <w:sz w:val="21"/>
                <w:szCs w:val="21"/>
              </w:rPr>
              <w:t>Tilburg University; Economics; Economic growth; Stock markets; Banks;</w:t>
            </w:r>
          </w:p>
          <w:p w14:paraId="0890159E" w14:textId="77777777" w:rsidR="006A39DE" w:rsidRPr="0028031A" w:rsidRDefault="006A39DE" w:rsidP="0051009C"/>
        </w:tc>
      </w:tr>
    </w:tbl>
    <w:p w14:paraId="1F55766C" w14:textId="77777777" w:rsidR="006A39DE" w:rsidRDefault="006A39DE" w:rsidP="006A39DE"/>
    <w:p w14:paraId="2CACD6AA" w14:textId="77777777" w:rsidR="000E1783" w:rsidRPr="0028031A" w:rsidRDefault="000E1783" w:rsidP="006A39DE"/>
    <w:p w14:paraId="7DB411E5" w14:textId="77777777" w:rsidR="006A39DE" w:rsidRPr="0028031A" w:rsidRDefault="006A39DE" w:rsidP="006A39DE">
      <w:pPr>
        <w:rPr>
          <w:b/>
          <w:i/>
        </w:rPr>
      </w:pPr>
      <w:r w:rsidRPr="0028031A">
        <w:rPr>
          <w:b/>
          <w:i/>
        </w:rPr>
        <w:t>Data production</w:t>
      </w:r>
    </w:p>
    <w:tbl>
      <w:tblPr>
        <w:tblStyle w:val="TableGrid"/>
        <w:tblW w:w="0" w:type="auto"/>
        <w:tblLook w:val="04A0" w:firstRow="1" w:lastRow="0" w:firstColumn="1" w:lastColumn="0" w:noHBand="0" w:noVBand="1"/>
      </w:tblPr>
      <w:tblGrid>
        <w:gridCol w:w="2405"/>
        <w:gridCol w:w="6611"/>
      </w:tblGrid>
      <w:tr w:rsidR="006A39DE" w:rsidRPr="0028031A" w14:paraId="32C31C25" w14:textId="77777777" w:rsidTr="0051009C">
        <w:tc>
          <w:tcPr>
            <w:tcW w:w="2405" w:type="dxa"/>
          </w:tcPr>
          <w:p w14:paraId="001F6BBE" w14:textId="0351B98B" w:rsidR="006A39DE" w:rsidRPr="0028031A" w:rsidRDefault="006A39DE" w:rsidP="004424B3">
            <w:r w:rsidRPr="00053731">
              <w:t>Producer</w:t>
            </w:r>
            <w:r w:rsidR="005C18D0">
              <w:t xml:space="preserve"> </w:t>
            </w:r>
          </w:p>
        </w:tc>
        <w:tc>
          <w:tcPr>
            <w:tcW w:w="6611" w:type="dxa"/>
          </w:tcPr>
          <w:p w14:paraId="5074FAB7" w14:textId="078ADFDB" w:rsidR="006A39DE" w:rsidRPr="0028031A" w:rsidRDefault="006A39DE" w:rsidP="0066174C">
            <w:r w:rsidRPr="0028031A">
              <w:t xml:space="preserve">Tilburg University </w:t>
            </w:r>
          </w:p>
        </w:tc>
      </w:tr>
      <w:tr w:rsidR="006A39DE" w:rsidRPr="0028031A" w14:paraId="7F962A8D" w14:textId="77777777" w:rsidTr="0051009C">
        <w:tc>
          <w:tcPr>
            <w:tcW w:w="2405" w:type="dxa"/>
          </w:tcPr>
          <w:p w14:paraId="021B7B41" w14:textId="14E34A8B" w:rsidR="006A39DE" w:rsidRPr="0028031A" w:rsidRDefault="006A39DE" w:rsidP="004424B3">
            <w:r w:rsidRPr="00053731">
              <w:t>Production date</w:t>
            </w:r>
            <w:r w:rsidR="004424B3">
              <w:t xml:space="preserve"> </w:t>
            </w:r>
          </w:p>
        </w:tc>
        <w:tc>
          <w:tcPr>
            <w:tcW w:w="6611" w:type="dxa"/>
          </w:tcPr>
          <w:p w14:paraId="73542ED9" w14:textId="5FF4F5CC" w:rsidR="006A39DE" w:rsidRPr="0028031A" w:rsidRDefault="006A39DE" w:rsidP="0051009C"/>
        </w:tc>
      </w:tr>
      <w:tr w:rsidR="006A39DE" w:rsidRPr="0028031A" w14:paraId="2F855A79" w14:textId="77777777" w:rsidTr="0051009C">
        <w:tc>
          <w:tcPr>
            <w:tcW w:w="2405" w:type="dxa"/>
          </w:tcPr>
          <w:p w14:paraId="3EEB4D65" w14:textId="6EAF83AB" w:rsidR="006A39DE" w:rsidRPr="0028031A" w:rsidRDefault="006A39DE" w:rsidP="004424B3">
            <w:r w:rsidRPr="0028031A">
              <w:t>Method</w:t>
            </w:r>
            <w:r w:rsidR="00C5004A">
              <w:t xml:space="preserve"> </w:t>
            </w:r>
          </w:p>
        </w:tc>
        <w:tc>
          <w:tcPr>
            <w:tcW w:w="6611" w:type="dxa"/>
          </w:tcPr>
          <w:p w14:paraId="6405045D" w14:textId="118E4119" w:rsidR="006A39DE" w:rsidRPr="0028031A" w:rsidRDefault="006A39DE" w:rsidP="0051009C"/>
        </w:tc>
      </w:tr>
      <w:tr w:rsidR="006A39DE" w:rsidRPr="0028031A" w14:paraId="1C910DCB" w14:textId="77777777" w:rsidTr="0051009C">
        <w:tc>
          <w:tcPr>
            <w:tcW w:w="2405" w:type="dxa"/>
          </w:tcPr>
          <w:p w14:paraId="29ECA302" w14:textId="6CEA76F3" w:rsidR="006A39DE" w:rsidRPr="00053731" w:rsidRDefault="006A39DE" w:rsidP="004424B3">
            <w:r w:rsidRPr="00053731">
              <w:t>Universe</w:t>
            </w:r>
          </w:p>
        </w:tc>
        <w:tc>
          <w:tcPr>
            <w:tcW w:w="6611" w:type="dxa"/>
          </w:tcPr>
          <w:p w14:paraId="76364F67" w14:textId="3AAD15F8" w:rsidR="006A39DE" w:rsidRPr="0028031A" w:rsidRDefault="0066174C" w:rsidP="0066174C">
            <w:r>
              <w:t>40 countries</w:t>
            </w:r>
          </w:p>
        </w:tc>
      </w:tr>
      <w:tr w:rsidR="006A39DE" w:rsidRPr="0028031A" w14:paraId="1E83723B" w14:textId="77777777" w:rsidTr="0051009C">
        <w:tc>
          <w:tcPr>
            <w:tcW w:w="2405" w:type="dxa"/>
          </w:tcPr>
          <w:p w14:paraId="03CAE377" w14:textId="79E22AE1" w:rsidR="006A39DE" w:rsidRPr="0028031A" w:rsidRDefault="006A39DE" w:rsidP="004424B3">
            <w:r w:rsidRPr="00053731">
              <w:t>Data sources</w:t>
            </w:r>
            <w:r w:rsidR="006B526B">
              <w:t xml:space="preserve"> </w:t>
            </w:r>
          </w:p>
        </w:tc>
        <w:tc>
          <w:tcPr>
            <w:tcW w:w="6611" w:type="dxa"/>
          </w:tcPr>
          <w:p w14:paraId="198500FC" w14:textId="51286A32" w:rsidR="006A39DE" w:rsidRPr="0028031A" w:rsidRDefault="00A77860" w:rsidP="0051009C">
            <w:r w:rsidRPr="00A77860">
              <w:t xml:space="preserve">Beck, T., Levine, R., &amp; </w:t>
            </w:r>
            <w:proofErr w:type="spellStart"/>
            <w:r w:rsidRPr="00A77860">
              <w:t>Loayza</w:t>
            </w:r>
            <w:proofErr w:type="spellEnd"/>
            <w:r w:rsidRPr="00A77860">
              <w:t xml:space="preserve">, N. (2000). Finance and the Sources of Growth. </w:t>
            </w:r>
            <w:r w:rsidRPr="00A77860">
              <w:rPr>
                <w:i/>
              </w:rPr>
              <w:t>Journal of financial economics, 58</w:t>
            </w:r>
            <w:r w:rsidRPr="00A77860">
              <w:t>(1-2), 261-300.</w:t>
            </w:r>
          </w:p>
        </w:tc>
      </w:tr>
      <w:tr w:rsidR="006A39DE" w:rsidRPr="0028031A" w14:paraId="329931BE" w14:textId="77777777" w:rsidTr="0051009C">
        <w:tc>
          <w:tcPr>
            <w:tcW w:w="2405" w:type="dxa"/>
          </w:tcPr>
          <w:p w14:paraId="33C1FB21" w14:textId="6ADCDDDA" w:rsidR="006A39DE" w:rsidRPr="0028031A" w:rsidRDefault="006A39DE" w:rsidP="004424B3">
            <w:r w:rsidRPr="00053731">
              <w:t>Country / Nation</w:t>
            </w:r>
          </w:p>
        </w:tc>
        <w:tc>
          <w:tcPr>
            <w:tcW w:w="6611" w:type="dxa"/>
          </w:tcPr>
          <w:p w14:paraId="33CBF595" w14:textId="1D30926E" w:rsidR="006A39DE" w:rsidRPr="0028031A" w:rsidRDefault="006A39DE" w:rsidP="0051009C"/>
        </w:tc>
      </w:tr>
    </w:tbl>
    <w:p w14:paraId="3A160CFB" w14:textId="77777777" w:rsidR="006A39DE" w:rsidRPr="0028031A" w:rsidRDefault="006A39DE" w:rsidP="006A39DE"/>
    <w:p w14:paraId="7AFCD38B" w14:textId="77777777" w:rsidR="000E1783" w:rsidRDefault="000E1783" w:rsidP="006A39DE">
      <w:pPr>
        <w:rPr>
          <w:b/>
          <w:i/>
        </w:rPr>
      </w:pPr>
    </w:p>
    <w:p w14:paraId="504C7DF2" w14:textId="77777777" w:rsidR="006A39DE" w:rsidRPr="0028031A" w:rsidRDefault="006A39DE" w:rsidP="006A39DE">
      <w:pPr>
        <w:rPr>
          <w:b/>
          <w:i/>
        </w:rPr>
      </w:pPr>
      <w:r w:rsidRPr="0028031A">
        <w:rPr>
          <w:b/>
          <w:i/>
        </w:rPr>
        <w:t>Data files</w:t>
      </w:r>
    </w:p>
    <w:tbl>
      <w:tblPr>
        <w:tblStyle w:val="TableGrid"/>
        <w:tblW w:w="0" w:type="auto"/>
        <w:tblLook w:val="04A0" w:firstRow="1" w:lastRow="0" w:firstColumn="1" w:lastColumn="0" w:noHBand="0" w:noVBand="1"/>
      </w:tblPr>
      <w:tblGrid>
        <w:gridCol w:w="2405"/>
        <w:gridCol w:w="6611"/>
      </w:tblGrid>
      <w:tr w:rsidR="006A39DE" w:rsidRPr="0028031A" w14:paraId="52104E12" w14:textId="77777777" w:rsidTr="0051009C">
        <w:tc>
          <w:tcPr>
            <w:tcW w:w="2405" w:type="dxa"/>
          </w:tcPr>
          <w:p w14:paraId="21888FE6" w14:textId="3637F333" w:rsidR="006A39DE" w:rsidRPr="0028031A" w:rsidRDefault="006A39DE" w:rsidP="004424B3">
            <w:r w:rsidRPr="00053731">
              <w:t>Kind of data</w:t>
            </w:r>
            <w:r w:rsidR="005C18D0">
              <w:t xml:space="preserve"> </w:t>
            </w:r>
          </w:p>
        </w:tc>
        <w:tc>
          <w:tcPr>
            <w:tcW w:w="6611" w:type="dxa"/>
          </w:tcPr>
          <w:p w14:paraId="0F051C03" w14:textId="6FF682EE" w:rsidR="006A39DE" w:rsidRPr="0028031A" w:rsidRDefault="00A77860" w:rsidP="0051009C">
            <w:r>
              <w:t>Miscellaneous data</w:t>
            </w:r>
          </w:p>
        </w:tc>
      </w:tr>
      <w:tr w:rsidR="006A39DE" w:rsidRPr="0028031A" w14:paraId="44A05444" w14:textId="77777777" w:rsidTr="0051009C">
        <w:tc>
          <w:tcPr>
            <w:tcW w:w="2405" w:type="dxa"/>
          </w:tcPr>
          <w:p w14:paraId="568FDE1B" w14:textId="0DC8183E" w:rsidR="006A39DE" w:rsidRPr="0028031A" w:rsidRDefault="006A39DE" w:rsidP="004424B3">
            <w:r w:rsidRPr="00053731">
              <w:t>Restrictions</w:t>
            </w:r>
            <w:r w:rsidRPr="0028031A">
              <w:t xml:space="preserve"> </w:t>
            </w:r>
            <w:bookmarkStart w:id="0" w:name="_GoBack"/>
            <w:bookmarkEnd w:id="0"/>
          </w:p>
        </w:tc>
        <w:tc>
          <w:tcPr>
            <w:tcW w:w="6611" w:type="dxa"/>
          </w:tcPr>
          <w:p w14:paraId="68489C48" w14:textId="5F09E543" w:rsidR="006A39DE" w:rsidRPr="0028031A" w:rsidRDefault="006A39DE" w:rsidP="0051009C"/>
        </w:tc>
      </w:tr>
      <w:tr w:rsidR="006A39DE" w14:paraId="0AF8DF24" w14:textId="77777777" w:rsidTr="0051009C">
        <w:tc>
          <w:tcPr>
            <w:tcW w:w="2405" w:type="dxa"/>
          </w:tcPr>
          <w:p w14:paraId="55CD93F0" w14:textId="77777777" w:rsidR="006A39DE" w:rsidRPr="0028031A" w:rsidRDefault="006A39DE" w:rsidP="0051009C">
            <w:r w:rsidRPr="0028031A">
              <w:t xml:space="preserve">Rights </w:t>
            </w:r>
          </w:p>
        </w:tc>
        <w:tc>
          <w:tcPr>
            <w:tcW w:w="6611" w:type="dxa"/>
          </w:tcPr>
          <w:p w14:paraId="4AB132DB" w14:textId="19AD1E79" w:rsidR="006A39DE" w:rsidRDefault="006A39DE" w:rsidP="0051009C"/>
        </w:tc>
      </w:tr>
      <w:tr w:rsidR="006A39DE" w14:paraId="00C3EEF2" w14:textId="77777777" w:rsidTr="0051009C">
        <w:tc>
          <w:tcPr>
            <w:tcW w:w="2405" w:type="dxa"/>
          </w:tcPr>
          <w:p w14:paraId="08952AEB" w14:textId="77777777" w:rsidR="006A39DE" w:rsidRDefault="006A39DE" w:rsidP="0051009C">
            <w:r>
              <w:t xml:space="preserve">File name &amp; type </w:t>
            </w:r>
          </w:p>
        </w:tc>
        <w:tc>
          <w:tcPr>
            <w:tcW w:w="6611" w:type="dxa"/>
          </w:tcPr>
          <w:p w14:paraId="4B93D0F4" w14:textId="25020AED" w:rsidR="006A39DE" w:rsidRDefault="00A77860" w:rsidP="00A77860">
            <w:pPr>
              <w:pStyle w:val="ListParagraph"/>
              <w:numPr>
                <w:ilvl w:val="0"/>
                <w:numId w:val="1"/>
              </w:numPr>
            </w:pPr>
            <w:r>
              <w:t>stockmarketbanks.xls (EXCEL)</w:t>
            </w:r>
            <w:r w:rsidR="006A39DE">
              <w:t xml:space="preserve"> </w:t>
            </w:r>
          </w:p>
        </w:tc>
      </w:tr>
      <w:tr w:rsidR="006A39DE" w14:paraId="312A0464" w14:textId="77777777" w:rsidTr="0051009C">
        <w:tc>
          <w:tcPr>
            <w:tcW w:w="2405" w:type="dxa"/>
          </w:tcPr>
          <w:p w14:paraId="77B26645" w14:textId="77777777" w:rsidR="006A39DE" w:rsidRDefault="006A39DE" w:rsidP="0051009C">
            <w:r>
              <w:t>Data retention period</w:t>
            </w:r>
          </w:p>
        </w:tc>
        <w:tc>
          <w:tcPr>
            <w:tcW w:w="6611" w:type="dxa"/>
          </w:tcPr>
          <w:p w14:paraId="120A534A" w14:textId="31963D2A" w:rsidR="006A39DE" w:rsidRDefault="00A77860" w:rsidP="0051009C">
            <w:r>
              <w:t>10 years</w:t>
            </w:r>
          </w:p>
        </w:tc>
      </w:tr>
    </w:tbl>
    <w:p w14:paraId="33F7473F" w14:textId="77777777" w:rsidR="006A39DE" w:rsidRDefault="006A39DE" w:rsidP="006A39DE"/>
    <w:p w14:paraId="30750A57" w14:textId="77777777" w:rsidR="006A39DE" w:rsidRDefault="006A39DE" w:rsidP="006A39DE"/>
    <w:p w14:paraId="151A65E7" w14:textId="77777777" w:rsidR="006A39DE" w:rsidRPr="008A5819" w:rsidRDefault="006A39DE" w:rsidP="006A39DE">
      <w:pPr>
        <w:rPr>
          <w:b/>
          <w:i/>
        </w:rPr>
      </w:pPr>
      <w:r>
        <w:rPr>
          <w:b/>
          <w:i/>
        </w:rPr>
        <w:t>Supplementary materials</w:t>
      </w:r>
    </w:p>
    <w:tbl>
      <w:tblPr>
        <w:tblStyle w:val="TableGrid"/>
        <w:tblW w:w="0" w:type="auto"/>
        <w:tblLook w:val="04A0" w:firstRow="1" w:lastRow="0" w:firstColumn="1" w:lastColumn="0" w:noHBand="0" w:noVBand="1"/>
      </w:tblPr>
      <w:tblGrid>
        <w:gridCol w:w="2405"/>
        <w:gridCol w:w="6611"/>
      </w:tblGrid>
      <w:tr w:rsidR="006A39DE" w14:paraId="60690176" w14:textId="77777777" w:rsidTr="0051009C">
        <w:tc>
          <w:tcPr>
            <w:tcW w:w="2405" w:type="dxa"/>
          </w:tcPr>
          <w:p w14:paraId="30C40E89" w14:textId="77777777" w:rsidR="006A39DE" w:rsidRDefault="006A39DE" w:rsidP="0051009C">
            <w:r>
              <w:t xml:space="preserve">Name document 1, 2, … </w:t>
            </w:r>
            <w:proofErr w:type="spellStart"/>
            <w:r>
              <w:t>etc</w:t>
            </w:r>
            <w:proofErr w:type="spellEnd"/>
            <w:r>
              <w:t xml:space="preserve"> </w:t>
            </w:r>
          </w:p>
        </w:tc>
        <w:tc>
          <w:tcPr>
            <w:tcW w:w="6611" w:type="dxa"/>
          </w:tcPr>
          <w:p w14:paraId="6C6E5969" w14:textId="6BB540E8" w:rsidR="006A39DE" w:rsidRDefault="006A39DE" w:rsidP="0051009C"/>
        </w:tc>
      </w:tr>
    </w:tbl>
    <w:p w14:paraId="3769F07F" w14:textId="77777777" w:rsidR="006A39DE" w:rsidRDefault="006A39DE" w:rsidP="006A39DE">
      <w:pPr>
        <w:rPr>
          <w:b/>
          <w:i/>
        </w:rPr>
      </w:pPr>
    </w:p>
    <w:p w14:paraId="763C0FCD" w14:textId="77777777" w:rsidR="000E1783" w:rsidRDefault="000E1783" w:rsidP="006A39DE">
      <w:pPr>
        <w:rPr>
          <w:b/>
          <w:i/>
        </w:rPr>
      </w:pPr>
    </w:p>
    <w:p w14:paraId="7937193D" w14:textId="77777777" w:rsidR="006A39DE" w:rsidRDefault="006A39DE" w:rsidP="006A39DE">
      <w:pPr>
        <w:rPr>
          <w:b/>
          <w:i/>
        </w:rPr>
      </w:pPr>
      <w:r>
        <w:rPr>
          <w:b/>
          <w:i/>
        </w:rPr>
        <w:lastRenderedPageBreak/>
        <w:t>Structure data package</w:t>
      </w:r>
    </w:p>
    <w:tbl>
      <w:tblPr>
        <w:tblStyle w:val="TableGrid"/>
        <w:tblW w:w="0" w:type="auto"/>
        <w:tblLook w:val="04A0" w:firstRow="1" w:lastRow="0" w:firstColumn="1" w:lastColumn="0" w:noHBand="0" w:noVBand="1"/>
      </w:tblPr>
      <w:tblGrid>
        <w:gridCol w:w="2405"/>
        <w:gridCol w:w="6611"/>
      </w:tblGrid>
      <w:tr w:rsidR="006A39DE" w14:paraId="2CEB75DD" w14:textId="77777777" w:rsidTr="00A77860">
        <w:trPr>
          <w:trHeight w:val="563"/>
        </w:trPr>
        <w:tc>
          <w:tcPr>
            <w:tcW w:w="2405" w:type="dxa"/>
          </w:tcPr>
          <w:p w14:paraId="51D03D68" w14:textId="77777777" w:rsidR="006A39DE" w:rsidRDefault="006A39DE" w:rsidP="0051009C">
            <w:r>
              <w:t>Folder structure</w:t>
            </w:r>
          </w:p>
        </w:tc>
        <w:tc>
          <w:tcPr>
            <w:tcW w:w="6611" w:type="dxa"/>
          </w:tcPr>
          <w:p w14:paraId="3CD0AF8D" w14:textId="4C5136B0" w:rsidR="006A39DE" w:rsidRDefault="00A77860" w:rsidP="00A77860">
            <w:pPr>
              <w:pStyle w:val="ListParagraph"/>
              <w:numPr>
                <w:ilvl w:val="0"/>
                <w:numId w:val="1"/>
              </w:numPr>
            </w:pPr>
            <w:r>
              <w:t>stockmarketbanks.xls</w:t>
            </w:r>
          </w:p>
        </w:tc>
      </w:tr>
    </w:tbl>
    <w:p w14:paraId="60155741" w14:textId="77777777" w:rsidR="00605422" w:rsidRPr="006A39DE" w:rsidRDefault="00605422" w:rsidP="006A39DE">
      <w:pPr>
        <w:spacing w:after="160" w:line="259" w:lineRule="auto"/>
        <w:rPr>
          <w:b/>
          <w:i/>
        </w:rPr>
      </w:pPr>
    </w:p>
    <w:sectPr w:rsidR="00605422" w:rsidRPr="006A39DE" w:rsidSect="000E1783">
      <w:headerReference w:type="default" r:id="rId7"/>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A847A" w14:textId="77777777" w:rsidR="006A39DE" w:rsidRDefault="006A39DE" w:rsidP="006A39DE">
      <w:pPr>
        <w:spacing w:line="240" w:lineRule="auto"/>
      </w:pPr>
      <w:r>
        <w:separator/>
      </w:r>
    </w:p>
  </w:endnote>
  <w:endnote w:type="continuationSeparator" w:id="0">
    <w:p w14:paraId="2BE0DEC9" w14:textId="77777777" w:rsidR="006A39DE" w:rsidRDefault="006A39DE" w:rsidP="006A3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64CC2" w14:textId="64F46CA9" w:rsidR="00CB39E7" w:rsidRPr="00CB39E7" w:rsidRDefault="00CB39E7">
    <w:pPr>
      <w:pStyle w:val="Footer"/>
      <w:rPr>
        <w:sz w:val="20"/>
      </w:rPr>
    </w:pPr>
    <w:r w:rsidRPr="00CB39E7">
      <w:rPr>
        <w:sz w:val="20"/>
      </w:rPr>
      <w:t xml:space="preserve">Source: Instructions for depositing data in Tilburg University </w:t>
    </w:r>
    <w:proofErr w:type="spellStart"/>
    <w:r w:rsidRPr="00CB39E7">
      <w:rPr>
        <w:sz w:val="20"/>
      </w:rPr>
      <w:t>Dataverse</w:t>
    </w:r>
    <w:proofErr w:type="spellEnd"/>
    <w:r w:rsidRPr="00CB39E7">
      <w:rPr>
        <w:sz w:val="20"/>
      </w:rPr>
      <w:t>. Version 1.1 August 21, 2017, Appendix A, p. 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B1007" w14:textId="77777777" w:rsidR="006A39DE" w:rsidRDefault="006A39DE" w:rsidP="006A39DE">
      <w:pPr>
        <w:spacing w:line="240" w:lineRule="auto"/>
      </w:pPr>
      <w:r>
        <w:separator/>
      </w:r>
    </w:p>
  </w:footnote>
  <w:footnote w:type="continuationSeparator" w:id="0">
    <w:p w14:paraId="5B95FEE3" w14:textId="77777777" w:rsidR="006A39DE" w:rsidRDefault="006A39DE" w:rsidP="006A39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BD240" w14:textId="77777777" w:rsidR="000E1783" w:rsidRDefault="000E1783" w:rsidP="006A39DE">
    <w:pPr>
      <w:pStyle w:val="Header"/>
      <w:jc w:val="center"/>
    </w:pPr>
    <w:r>
      <w:rPr>
        <w:noProof/>
      </w:rPr>
      <w:drawing>
        <wp:anchor distT="0" distB="0" distL="114300" distR="114300" simplePos="0" relativeHeight="251658240" behindDoc="0" locked="0" layoutInCell="1" allowOverlap="1" wp14:anchorId="6E4125AA" wp14:editId="544EED6F">
          <wp:simplePos x="0" y="0"/>
          <wp:positionH relativeFrom="margin">
            <wp:align>center</wp:align>
          </wp:positionH>
          <wp:positionV relativeFrom="paragraph">
            <wp:posOffset>-389255</wp:posOffset>
          </wp:positionV>
          <wp:extent cx="2533650" cy="7499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lbUni_logo_bb.jpg"/>
                  <pic:cNvPicPr/>
                </pic:nvPicPr>
                <pic:blipFill>
                  <a:blip r:embed="rId1">
                    <a:extLst>
                      <a:ext uri="{28A0092B-C50C-407E-A947-70E740481C1C}">
                        <a14:useLocalDpi xmlns:a14="http://schemas.microsoft.com/office/drawing/2010/main" val="0"/>
                      </a:ext>
                    </a:extLst>
                  </a:blip>
                  <a:stretch>
                    <a:fillRect/>
                  </a:stretch>
                </pic:blipFill>
                <pic:spPr>
                  <a:xfrm>
                    <a:off x="0" y="0"/>
                    <a:ext cx="2533650" cy="749935"/>
                  </a:xfrm>
                  <a:prstGeom prst="rect">
                    <a:avLst/>
                  </a:prstGeom>
                </pic:spPr>
              </pic:pic>
            </a:graphicData>
          </a:graphic>
        </wp:anchor>
      </w:drawing>
    </w:r>
  </w:p>
  <w:p w14:paraId="6D8DD90F" w14:textId="77777777" w:rsidR="000E1783" w:rsidRDefault="000E1783" w:rsidP="006A39DE">
    <w:pPr>
      <w:pStyle w:val="Header"/>
      <w:jc w:val="center"/>
    </w:pPr>
  </w:p>
  <w:p w14:paraId="75CCFF5E" w14:textId="77777777" w:rsidR="000E1783" w:rsidRDefault="000E1783" w:rsidP="006A39DE">
    <w:pPr>
      <w:pStyle w:val="Header"/>
      <w:jc w:val="center"/>
    </w:pPr>
  </w:p>
  <w:p w14:paraId="546DC124" w14:textId="77777777" w:rsidR="000E1783" w:rsidRDefault="000E1783" w:rsidP="006A39DE">
    <w:pPr>
      <w:pStyle w:val="Header"/>
      <w:jc w:val="center"/>
    </w:pPr>
  </w:p>
  <w:p w14:paraId="119775FF" w14:textId="77777777" w:rsidR="006A39DE" w:rsidRDefault="006A39DE" w:rsidP="006A39D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F49"/>
    <w:multiLevelType w:val="hybridMultilevel"/>
    <w:tmpl w:val="D5940F88"/>
    <w:lvl w:ilvl="0" w:tplc="5E58ADB0">
      <w:start w:val="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DE"/>
    <w:rsid w:val="000E1783"/>
    <w:rsid w:val="004424B3"/>
    <w:rsid w:val="004D6B19"/>
    <w:rsid w:val="005C18D0"/>
    <w:rsid w:val="00605422"/>
    <w:rsid w:val="0066174C"/>
    <w:rsid w:val="006A39DE"/>
    <w:rsid w:val="006B526B"/>
    <w:rsid w:val="00A77860"/>
    <w:rsid w:val="00BC14DA"/>
    <w:rsid w:val="00C5004A"/>
    <w:rsid w:val="00CB39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78CC5"/>
  <w15:chartTrackingRefBased/>
  <w15:docId w15:val="{92B6D10A-86A3-475E-8BF0-D17B2B69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9DE"/>
    <w:pPr>
      <w:spacing w:after="0" w:line="240" w:lineRule="exact"/>
    </w:pPr>
    <w:rPr>
      <w:rFonts w:ascii="Arial" w:hAnsi="Arial" w:cs="Arial"/>
      <w:sz w:val="21"/>
      <w:szCs w:val="20"/>
      <w:lang w:val="en-US"/>
    </w:rPr>
  </w:style>
  <w:style w:type="paragraph" w:styleId="Heading1">
    <w:name w:val="heading 1"/>
    <w:basedOn w:val="Normal"/>
    <w:next w:val="Normal"/>
    <w:link w:val="Heading1Char"/>
    <w:uiPriority w:val="9"/>
    <w:qFormat/>
    <w:rsid w:val="006A39DE"/>
    <w:pPr>
      <w:keepNext/>
      <w:keepLines/>
      <w:spacing w:before="240" w:after="240" w:line="240" w:lineRule="atLeast"/>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DE"/>
    <w:rPr>
      <w:rFonts w:ascii="Arial" w:eastAsiaTheme="majorEastAsia" w:hAnsi="Arial" w:cstheme="majorBidi"/>
      <w:b/>
      <w:sz w:val="28"/>
      <w:szCs w:val="32"/>
      <w:lang w:val="en-US"/>
    </w:rPr>
  </w:style>
  <w:style w:type="table" w:styleId="TableGrid">
    <w:name w:val="Table Grid"/>
    <w:basedOn w:val="TableNormal"/>
    <w:uiPriority w:val="39"/>
    <w:rsid w:val="006A39D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A39DE"/>
    <w:pPr>
      <w:spacing w:line="240" w:lineRule="auto"/>
    </w:pPr>
    <w:rPr>
      <w:sz w:val="20"/>
    </w:rPr>
  </w:style>
  <w:style w:type="character" w:customStyle="1" w:styleId="CommentTextChar">
    <w:name w:val="Comment Text Char"/>
    <w:basedOn w:val="DefaultParagraphFont"/>
    <w:link w:val="CommentText"/>
    <w:uiPriority w:val="99"/>
    <w:semiHidden/>
    <w:rsid w:val="006A39DE"/>
    <w:rPr>
      <w:rFonts w:ascii="Arial" w:hAnsi="Arial" w:cs="Arial"/>
      <w:sz w:val="20"/>
      <w:szCs w:val="20"/>
      <w:lang w:val="en-US"/>
    </w:rPr>
  </w:style>
  <w:style w:type="paragraph" w:styleId="Header">
    <w:name w:val="header"/>
    <w:basedOn w:val="Normal"/>
    <w:link w:val="HeaderChar"/>
    <w:uiPriority w:val="99"/>
    <w:unhideWhenUsed/>
    <w:rsid w:val="006A39DE"/>
    <w:pPr>
      <w:tabs>
        <w:tab w:val="center" w:pos="4513"/>
        <w:tab w:val="right" w:pos="9026"/>
      </w:tabs>
      <w:spacing w:line="240" w:lineRule="auto"/>
    </w:pPr>
  </w:style>
  <w:style w:type="character" w:customStyle="1" w:styleId="HeaderChar">
    <w:name w:val="Header Char"/>
    <w:basedOn w:val="DefaultParagraphFont"/>
    <w:link w:val="Header"/>
    <w:uiPriority w:val="99"/>
    <w:rsid w:val="006A39DE"/>
    <w:rPr>
      <w:rFonts w:ascii="Arial" w:hAnsi="Arial" w:cs="Arial"/>
      <w:sz w:val="21"/>
      <w:szCs w:val="20"/>
      <w:lang w:val="en-US"/>
    </w:rPr>
  </w:style>
  <w:style w:type="paragraph" w:styleId="Footer">
    <w:name w:val="footer"/>
    <w:basedOn w:val="Normal"/>
    <w:link w:val="FooterChar"/>
    <w:uiPriority w:val="99"/>
    <w:unhideWhenUsed/>
    <w:rsid w:val="006A39DE"/>
    <w:pPr>
      <w:tabs>
        <w:tab w:val="center" w:pos="4513"/>
        <w:tab w:val="right" w:pos="9026"/>
      </w:tabs>
      <w:spacing w:line="240" w:lineRule="auto"/>
    </w:pPr>
  </w:style>
  <w:style w:type="character" w:customStyle="1" w:styleId="FooterChar">
    <w:name w:val="Footer Char"/>
    <w:basedOn w:val="DefaultParagraphFont"/>
    <w:link w:val="Footer"/>
    <w:uiPriority w:val="99"/>
    <w:rsid w:val="006A39DE"/>
    <w:rPr>
      <w:rFonts w:ascii="Arial" w:hAnsi="Arial" w:cs="Arial"/>
      <w:sz w:val="21"/>
      <w:szCs w:val="20"/>
      <w:lang w:val="en-US"/>
    </w:rPr>
  </w:style>
  <w:style w:type="paragraph" w:styleId="ListParagraph">
    <w:name w:val="List Paragraph"/>
    <w:basedOn w:val="Normal"/>
    <w:uiPriority w:val="34"/>
    <w:qFormat/>
    <w:rsid w:val="00A7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H.J.M. van den Akker</dc:creator>
  <cp:keywords/>
  <dc:description/>
  <cp:lastModifiedBy>M.L. Lechner</cp:lastModifiedBy>
  <cp:revision>4</cp:revision>
  <dcterms:created xsi:type="dcterms:W3CDTF">2018-04-25T10:04:00Z</dcterms:created>
  <dcterms:modified xsi:type="dcterms:W3CDTF">2018-04-30T08:23:00Z</dcterms:modified>
</cp:coreProperties>
</file>