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906"/>
            <w:tcBorders>
              <w:top w:val="single" w:color="EFC080" w:sz="16"/>
              <w:left w:val="none" w:color="FFFFFF" w:sz="0"/>
              <w:bottom w:val="single" w:color="EFC080" w:sz="4"/>
              <w:right w:val="none" w:color="FFFFFF" w:sz="0"/>
            </w:tcBorders>
            <w:shd w:fill="16224D" w:val="clear"/>
            <w:tcMar>
              <w:top w:type="dxa" w:w="420"/>
              <w:left w:type="dxa" w:w="300"/>
              <w:bottom w:type="dxa" w:w="340"/>
              <w:right w:type="dxa" w:w="300"/>
            </w:tcMar>
          </w:tcPr>
          <w:p>
            <w:pPr>
              <w:spacing w:after="60"/>
              <w:jc w:val="center"/>
            </w:pPr>
            <w:r>
              <w:rPr>
                <w:rFonts w:ascii="Cambria" w:cs="Cambria" w:eastAsia="Cambria" w:hAnsi="Cambria"/>
                <w:b/>
                <w:bCs/>
                <w:color w:val="FFFFFF"/>
                <w:spacing w:val="10"/>
                <w:sz w:val="62"/>
                <w:szCs w:val="62"/>
              </w:rPr>
              <w:t xml:space="preserve">THE NEOTIA UNIVERSITY</w:t>
            </w:r>
          </w:p>
          <w:p>
            <w:pPr>
              <w:jc w:val="center"/>
            </w:pPr>
            <w:r>
              <w:rPr>
                <w:rFonts w:ascii="Calibri" w:cs="Calibri" w:eastAsia="Calibri" w:hAnsi="Calibri"/>
                <w:i/>
                <w:iCs/>
                <w:color w:val="EFC080"/>
                <w:spacing w:val="6"/>
                <w:sz w:val="21"/>
                <w:szCs w:val="21"/>
              </w:rPr>
              <w:t xml:space="preserve">Department of Computer Science &amp; Engineering — AI &amp; ML</w:t>
            </w:r>
          </w:p>
        </w:tc>
      </w:tr>
    </w:tbl>
    <w:p>
      <w:pPr>
        <w:spacing w:after="160" w:before="560"/>
        <w:jc w:val="center"/>
      </w:pPr>
      <w:r>
        <w:rPr>
          <w:rFonts w:ascii="Calibri" w:cs="Calibri" w:eastAsia="Calibri" w:hAnsi="Calibri"/>
          <w:b/>
          <w:bCs/>
          <w:color w:val="AD6F17"/>
          <w:spacing w:val="30"/>
          <w:sz w:val="20"/>
          <w:szCs w:val="20"/>
        </w:rPr>
        <w:t xml:space="preserve">PROJECT DEVELOPMENT DOCUMENT</w:t>
      </w:r>
    </w:p>
    <w:p>
      <w:pPr>
        <w:spacing w:after="100"/>
        <w:jc w:val="center"/>
      </w:pPr>
      <w:r>
        <w:rPr>
          <w:rFonts w:ascii="Cambria" w:cs="Cambria" w:eastAsia="Cambria" w:hAnsi="Cambria"/>
          <w:b/>
          <w:bCs/>
          <w:color w:val="16224D"/>
          <w:sz w:val="58"/>
          <w:szCs w:val="58"/>
        </w:rPr>
        <w:t xml:space="preserve">AI Financial Analyzer</w:t>
      </w:r>
    </w:p>
    <w:p>
      <w:pPr>
        <w:spacing w:after="60"/>
        <w:jc w:val="center"/>
      </w:pPr>
      <w:r>
        <w:rPr>
          <w:rFonts w:ascii="Calibri" w:cs="Calibri" w:eastAsia="Calibri" w:hAnsi="Calibri"/>
          <w:i/>
          <w:iCs/>
          <w:color w:val="5B6472"/>
          <w:sz w:val="24"/>
          <w:szCs w:val="24"/>
        </w:rPr>
        <w:t xml:space="preserve">Automated Payslip-Based Loan Eligibility &amp; AI-Driven Bank Statement Categorization</w:t>
      </w:r>
    </w:p>
    <w:p>
      <w:pPr>
        <w:pBdr>
          <w:bottom w:val="single" w:color="EFC080" w:sz="10" w:space="4"/>
        </w:pBdr>
        <w:spacing w:after="260" w:before="200"/>
        <w:jc w:val="center"/>
      </w:pPr>
      <w:r>
        <w:rPr>
          <w:rFonts w:ascii="Calibri" w:cs="Calibri" w:eastAsia="Calibri" w:hAnsi="Calibri"/>
          <w:color w:val="AD6F17"/>
          <w:sz w:val="20"/>
          <w:szCs w:val="20"/>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2476"/>
        <w:gridCol w:w="2476"/>
        <w:gridCol w:w="2478"/>
      </w:tblGrid>
      <w:tr>
        <w:tc>
          <w:tcPr>
            <w:tcW w:type="dxa" w:w="2476"/>
            <w:tcBorders>
              <w:top w:val="none" w:color="FFFFFF" w:sz="0"/>
              <w:left w:val="none" w:color="FFFFFF" w:sz="0"/>
              <w:bottom w:val="single" w:color="EFC080" w:sz="4"/>
              <w:right w:val="none" w:color="FFFFFF" w:sz="0"/>
            </w:tcBorders>
            <w:tcMar>
              <w:top w:type="dxa" w:w="160"/>
              <w:left w:type="dxa" w:w="40"/>
              <w:bottom w:type="dxa" w:w="160"/>
              <w:right w:type="dxa" w:w="40"/>
            </w:tcMar>
          </w:tcPr>
          <w:p>
            <w:r>
              <w:rPr>
                <w:rFonts w:ascii="Calibri" w:cs="Calibri" w:eastAsia="Calibri" w:hAnsi="Calibri"/>
                <w:b/>
                <w:bCs/>
                <w:color w:val="AD6F17"/>
                <w:spacing w:val="10"/>
                <w:sz w:val="16"/>
                <w:szCs w:val="16"/>
              </w:rPr>
              <w:t xml:space="preserve">NAME</w:t>
            </w:r>
          </w:p>
          <w:p>
            <w:pPr>
              <w:spacing w:before="40"/>
            </w:pPr>
            <w:r>
              <w:rPr>
                <w:rFonts w:ascii="Calibri" w:cs="Calibri" w:eastAsia="Calibri" w:hAnsi="Calibri"/>
                <w:b/>
                <w:bCs/>
                <w:color w:val="20293B"/>
                <w:sz w:val="22"/>
                <w:szCs w:val="22"/>
              </w:rPr>
              <w:t xml:space="preserve">Ritam Halder</w:t>
            </w:r>
          </w:p>
        </w:tc>
        <w:tc>
          <w:tcPr>
            <w:tcW w:type="dxa" w:w="2476"/>
            <w:tcBorders>
              <w:top w:val="none" w:color="FFFFFF" w:sz="0"/>
              <w:left w:val="none" w:color="FFFFFF" w:sz="0"/>
              <w:bottom w:val="single" w:color="EFC080" w:sz="4"/>
              <w:right w:val="none" w:color="FFFFFF" w:sz="0"/>
            </w:tcBorders>
            <w:tcMar>
              <w:top w:type="dxa" w:w="160"/>
              <w:left w:type="dxa" w:w="40"/>
              <w:bottom w:type="dxa" w:w="160"/>
              <w:right w:type="dxa" w:w="40"/>
            </w:tcMar>
          </w:tcPr>
          <w:p>
            <w:r>
              <w:rPr>
                <w:rFonts w:ascii="Calibri" w:cs="Calibri" w:eastAsia="Calibri" w:hAnsi="Calibri"/>
                <w:b/>
                <w:bCs/>
                <w:color w:val="AD6F17"/>
                <w:spacing w:val="10"/>
                <w:sz w:val="16"/>
                <w:szCs w:val="16"/>
              </w:rPr>
              <w:t xml:space="preserve">UNIVERSITY</w:t>
            </w:r>
          </w:p>
          <w:p>
            <w:pPr>
              <w:spacing w:before="40"/>
            </w:pPr>
            <w:r>
              <w:rPr>
                <w:rFonts w:ascii="Calibri" w:cs="Calibri" w:eastAsia="Calibri" w:hAnsi="Calibri"/>
                <w:b/>
                <w:bCs/>
                <w:color w:val="20293B"/>
                <w:sz w:val="22"/>
                <w:szCs w:val="22"/>
              </w:rPr>
              <w:t xml:space="preserve">The Neotia University</w:t>
            </w:r>
          </w:p>
        </w:tc>
      </w:tr>
      <w:tr>
        <w:tc>
          <w:tcPr>
            <w:tcW w:type="dxa" w:w="2476"/>
            <w:tcBorders>
              <w:top w:val="none" w:color="FFFFFF" w:sz="0"/>
              <w:left w:val="none" w:color="FFFFFF" w:sz="0"/>
              <w:bottom w:val="single" w:color="EFC080" w:sz="4"/>
              <w:right w:val="none" w:color="FFFFFF" w:sz="0"/>
            </w:tcBorders>
            <w:tcMar>
              <w:top w:type="dxa" w:w="160"/>
              <w:left w:type="dxa" w:w="40"/>
              <w:bottom w:type="dxa" w:w="160"/>
              <w:right w:type="dxa" w:w="40"/>
            </w:tcMar>
          </w:tcPr>
          <w:p>
            <w:r>
              <w:rPr>
                <w:rFonts w:ascii="Calibri" w:cs="Calibri" w:eastAsia="Calibri" w:hAnsi="Calibri"/>
                <w:b/>
                <w:bCs/>
                <w:color w:val="AD6F17"/>
                <w:spacing w:val="10"/>
                <w:sz w:val="16"/>
                <w:szCs w:val="16"/>
              </w:rPr>
              <w:t xml:space="preserve">UID / ROLL</w:t>
            </w:r>
          </w:p>
          <w:p>
            <w:pPr>
              <w:spacing w:before="40"/>
            </w:pPr>
            <w:r>
              <w:rPr>
                <w:rFonts w:ascii="Calibri" w:cs="Calibri" w:eastAsia="Calibri" w:hAnsi="Calibri"/>
                <w:b/>
                <w:bCs/>
                <w:color w:val="20293B"/>
                <w:sz w:val="22"/>
                <w:szCs w:val="22"/>
              </w:rPr>
              <w:t xml:space="preserve">TNUR20241053013</w:t>
            </w:r>
          </w:p>
        </w:tc>
        <w:tc>
          <w:tcPr>
            <w:tcW w:type="dxa" w:w="2476"/>
            <w:tcBorders>
              <w:top w:val="none" w:color="FFFFFF" w:sz="0"/>
              <w:left w:val="none" w:color="FFFFFF" w:sz="0"/>
              <w:bottom w:val="single" w:color="EFC080" w:sz="4"/>
              <w:right w:val="none" w:color="FFFFFF" w:sz="0"/>
            </w:tcBorders>
            <w:tcMar>
              <w:top w:type="dxa" w:w="160"/>
              <w:left w:type="dxa" w:w="40"/>
              <w:bottom w:type="dxa" w:w="160"/>
              <w:right w:type="dxa" w:w="40"/>
            </w:tcMar>
          </w:tcPr>
          <w:p>
            <w:r>
              <w:rPr>
                <w:rFonts w:ascii="Calibri" w:cs="Calibri" w:eastAsia="Calibri" w:hAnsi="Calibri"/>
                <w:b/>
                <w:bCs/>
                <w:color w:val="AD6F17"/>
                <w:spacing w:val="10"/>
                <w:sz w:val="16"/>
                <w:szCs w:val="16"/>
              </w:rPr>
              <w:t xml:space="preserve">INTERNSHIP COMPANY</w:t>
            </w:r>
          </w:p>
          <w:p>
            <w:pPr>
              <w:spacing w:before="40"/>
            </w:pPr>
            <w:r>
              <w:rPr>
                <w:rFonts w:ascii="Calibri" w:cs="Calibri" w:eastAsia="Calibri" w:hAnsi="Calibri"/>
                <w:b/>
                <w:bCs/>
                <w:color w:val="20293B"/>
                <w:sz w:val="22"/>
                <w:szCs w:val="22"/>
              </w:rPr>
              <w:t xml:space="preserve">Kognitive</w:t>
            </w:r>
          </w:p>
        </w:tc>
      </w:tr>
      <w:tr>
        <w:tc>
          <w:tcPr>
            <w:tcW w:type="dxa" w:w="2476"/>
            <w:tcBorders>
              <w:top w:val="none" w:color="FFFFFF" w:sz="0"/>
              <w:left w:val="none" w:color="FFFFFF" w:sz="0"/>
              <w:bottom w:val="single" w:color="EFC080" w:sz="4"/>
              <w:right w:val="none" w:color="FFFFFF" w:sz="0"/>
            </w:tcBorders>
            <w:tcMar>
              <w:top w:type="dxa" w:w="160"/>
              <w:left w:type="dxa" w:w="40"/>
              <w:bottom w:type="dxa" w:w="160"/>
              <w:right w:type="dxa" w:w="40"/>
            </w:tcMar>
          </w:tcPr>
          <w:p>
            <w:r>
              <w:rPr>
                <w:rFonts w:ascii="Calibri" w:cs="Calibri" w:eastAsia="Calibri" w:hAnsi="Calibri"/>
                <w:b/>
                <w:bCs/>
                <w:color w:val="AD6F17"/>
                <w:spacing w:val="10"/>
                <w:sz w:val="16"/>
                <w:szCs w:val="16"/>
              </w:rPr>
              <w:t xml:space="preserve">DEPARTMENT</w:t>
            </w:r>
          </w:p>
          <w:p>
            <w:pPr>
              <w:spacing w:before="40"/>
            </w:pPr>
            <w:r>
              <w:rPr>
                <w:rFonts w:ascii="Calibri" w:cs="Calibri" w:eastAsia="Calibri" w:hAnsi="Calibri"/>
                <w:b/>
                <w:bCs/>
                <w:color w:val="20293B"/>
                <w:sz w:val="22"/>
                <w:szCs w:val="22"/>
              </w:rPr>
              <w:t xml:space="preserve">CSE (AI &amp; ML)</w:t>
            </w:r>
          </w:p>
        </w:tc>
        <w:tc>
          <w:tcPr>
            <w:tcW w:type="dxa" w:w="2476"/>
            <w:tcBorders>
              <w:top w:val="none" w:color="FFFFFF" w:sz="0"/>
              <w:left w:val="none" w:color="FFFFFF" w:sz="0"/>
              <w:bottom w:val="single" w:color="EFC080" w:sz="4"/>
              <w:right w:val="none" w:color="FFFFFF" w:sz="0"/>
            </w:tcBorders>
            <w:tcMar>
              <w:top w:type="dxa" w:w="160"/>
              <w:left w:type="dxa" w:w="40"/>
              <w:bottom w:type="dxa" w:w="160"/>
              <w:right w:type="dxa" w:w="40"/>
            </w:tcMar>
          </w:tcPr>
          <w:p>
            <w:r>
              <w:rPr>
                <w:rFonts w:ascii="Calibri" w:cs="Calibri" w:eastAsia="Calibri" w:hAnsi="Calibri"/>
                <w:b/>
                <w:bCs/>
                <w:color w:val="AD6F17"/>
                <w:spacing w:val="10"/>
                <w:sz w:val="16"/>
                <w:szCs w:val="16"/>
              </w:rPr>
              <w:t xml:space="preserve">INTERNSHIP DURATION</w:t>
            </w:r>
          </w:p>
          <w:p>
            <w:pPr>
              <w:spacing w:before="40"/>
            </w:pPr>
            <w:r>
              <w:rPr>
                <w:rFonts w:ascii="Calibri" w:cs="Calibri" w:eastAsia="Calibri" w:hAnsi="Calibri"/>
                <w:b/>
                <w:bCs/>
                <w:color w:val="20293B"/>
                <w:sz w:val="22"/>
                <w:szCs w:val="22"/>
              </w:rPr>
              <w:t xml:space="preserve">15 Jun – 15 Jul 2026</w:t>
            </w:r>
          </w:p>
        </w:tc>
      </w:tr>
      <w:tr>
        <w:tc>
          <w:tcPr>
            <w:tcW w:type="dxa" w:w="2476"/>
            <w:tcBorders>
              <w:top w:val="none" w:color="FFFFFF" w:sz="0"/>
              <w:left w:val="none" w:color="FFFFFF" w:sz="0"/>
              <w:bottom w:val="single" w:color="EFC080" w:sz="4"/>
              <w:right w:val="none" w:color="FFFFFF" w:sz="0"/>
            </w:tcBorders>
            <w:tcMar>
              <w:top w:type="dxa" w:w="160"/>
              <w:left w:type="dxa" w:w="40"/>
              <w:bottom w:type="dxa" w:w="160"/>
              <w:right w:type="dxa" w:w="40"/>
            </w:tcMar>
          </w:tcPr>
          <w:p>
            <w:r>
              <w:rPr>
                <w:rFonts w:ascii="Calibri" w:cs="Calibri" w:eastAsia="Calibri" w:hAnsi="Calibri"/>
                <w:b/>
                <w:bCs/>
                <w:color w:val="AD6F17"/>
                <w:spacing w:val="10"/>
                <w:sz w:val="16"/>
                <w:szCs w:val="16"/>
              </w:rPr>
              <w:t xml:space="preserve">SEMESTER</w:t>
            </w:r>
          </w:p>
          <w:p>
            <w:pPr>
              <w:spacing w:before="40"/>
            </w:pPr>
            <w:r>
              <w:rPr>
                <w:rFonts w:ascii="Calibri" w:cs="Calibri" w:eastAsia="Calibri" w:hAnsi="Calibri"/>
                <w:b/>
                <w:bCs/>
                <w:color w:val="20293B"/>
                <w:sz w:val="22"/>
                <w:szCs w:val="22"/>
              </w:rPr>
              <w:t xml:space="preserve">5th</w:t>
            </w:r>
          </w:p>
        </w:tc>
        <w:tc>
          <w:tcPr>
            <w:tcW w:type="dxa" w:w="2476"/>
            <w:tcBorders>
              <w:top w:val="none" w:color="FFFFFF" w:sz="0"/>
              <w:left w:val="none" w:color="FFFFFF" w:sz="0"/>
              <w:bottom w:val="single" w:color="EFC080" w:sz="4"/>
              <w:right w:val="none" w:color="FFFFFF" w:sz="0"/>
            </w:tcBorders>
            <w:tcMar>
              <w:top w:type="dxa" w:w="160"/>
              <w:left w:type="dxa" w:w="40"/>
              <w:bottom w:type="dxa" w:w="160"/>
              <w:right w:type="dxa" w:w="40"/>
            </w:tcMar>
          </w:tcPr>
          <w:p>
            <w:r>
              <w:rPr>
                <w:rFonts w:ascii="Calibri" w:cs="Calibri" w:eastAsia="Calibri" w:hAnsi="Calibri"/>
                <w:b/>
                <w:bCs/>
                <w:color w:val="AD6F17"/>
                <w:spacing w:val="10"/>
                <w:sz w:val="16"/>
                <w:szCs w:val="16"/>
              </w:rPr>
              <w:t xml:space="preserve">SUBMITTED TO</w:t>
            </w:r>
          </w:p>
          <w:p>
            <w:pPr>
              <w:spacing w:before="40"/>
            </w:pPr>
            <w:r>
              <w:rPr>
                <w:rFonts w:ascii="Calibri" w:cs="Calibri" w:eastAsia="Calibri" w:hAnsi="Calibri"/>
                <w:b/>
                <w:bCs/>
                <w:color w:val="20293B"/>
                <w:sz w:val="22"/>
                <w:szCs w:val="22"/>
              </w:rPr>
              <w:t xml:space="preserve">Bikash Bej</w:t>
            </w:r>
          </w:p>
        </w:tc>
      </w:tr>
    </w:tbl>
    <w:p>
      <w:pPr>
        <w:spacing w:before="15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906"/>
            <w:tcBorders>
              <w:top w:val="single" w:color="EFC080" w:sz="4"/>
              <w:left w:val="none" w:color="FFFFFF" w:sz="0"/>
              <w:bottom w:val="single" w:color="EFC080" w:sz="16"/>
              <w:right w:val="none" w:color="FFFFFF" w:sz="0"/>
            </w:tcBorders>
            <w:shd w:fill="16224D" w:val="clear"/>
            <w:tcMar>
              <w:top w:type="dxa" w:w="220"/>
              <w:left w:type="dxa" w:w="300"/>
              <w:bottom w:type="dxa" w:w="220"/>
              <w:right w:type="dxa" w:w="300"/>
            </w:tcMar>
          </w:tcPr>
          <w:p>
            <w:pPr>
              <w:jc w:val="center"/>
            </w:pPr>
            <w:r>
              <w:rPr>
                <w:rFonts w:ascii="Calibri" w:cs="Calibri" w:eastAsia="Calibri" w:hAnsi="Calibri"/>
                <w:b/>
                <w:bCs/>
                <w:color w:val="EFC080"/>
                <w:spacing w:val="12"/>
                <w:sz w:val="18"/>
                <w:szCs w:val="18"/>
              </w:rPr>
              <w:t xml:space="preserve">KOGNITIVE INTERNSHIP PROGRAM  ·  2026</w:t>
            </w:r>
          </w:p>
        </w:tc>
      </w:tr>
    </w:tbl>
    <w:p>
      <w:r>
        <w:br w:type="page"/>
      </w:r>
    </w:p>
    <w:p>
      <w:pPr>
        <w:sectPr>
          <w:pgSz w:w="11906" w:h="16838" w:orient="portrait"/>
          <w:pgMar w:top="900" w:right="1000" w:bottom="900" w:left="1000" w:header="708" w:footer="708" w:gutter="0"/>
          <w:pgNumType/>
          <w:docGrid w:linePitch="360"/>
        </w:sectPr>
      </w:pPr>
    </w:p>
    <w:p>
      <w:pPr>
        <w:spacing w:after="80"/>
      </w:pPr>
      <w:r>
        <w:rPr>
          <w:rFonts w:ascii="Calibri" w:cs="Calibri" w:eastAsia="Calibri" w:hAnsi="Calibri"/>
          <w:b/>
          <w:bCs/>
          <w:color w:val="AD6F17"/>
          <w:spacing w:val="20"/>
          <w:sz w:val="19"/>
          <w:szCs w:val="19"/>
        </w:rPr>
        <w:t xml:space="preserve">CONTENTS</w:t>
      </w:r>
    </w:p>
    <w:p>
      <w:pPr>
        <w:pBdr>
          <w:bottom w:val="single" w:color="D8DFEE" w:sz="6" w:space="8"/>
        </w:pBdr>
        <w:spacing w:after="260"/>
      </w:pPr>
      <w:r>
        <w:rPr>
          <w:rFonts w:ascii="Cambria" w:cs="Cambria" w:eastAsia="Cambria" w:hAnsi="Cambria"/>
          <w:b/>
          <w:bCs/>
          <w:color w:val="16224D"/>
          <w:sz w:val="34"/>
          <w:szCs w:val="34"/>
        </w:rPr>
        <w:t xml:space="preserve">Table of Contents</w:t>
      </w:r>
    </w:p>
    <w:p>
      <w:pPr>
        <w:tabs>
          <w:tab w:val="right" w:pos="9026" w:leader="dot"/>
        </w:tabs>
        <w:spacing w:after="140"/>
      </w:pPr>
      <w:r>
        <w:rPr>
          <w:rFonts w:ascii="Calibri" w:cs="Calibri" w:eastAsia="Calibri" w:hAnsi="Calibri"/>
          <w:b/>
          <w:bCs/>
          <w:color w:val="16224D"/>
          <w:sz w:val="23"/>
          <w:szCs w:val="23"/>
        </w:rPr>
        <w:t xml:space="preserve">Abstract</w:t>
      </w:r>
      <w:r>
        <w:rPr>
          <w:rFonts w:ascii="Calibri" w:cs="Calibri" w:eastAsia="Calibri" w:hAnsi="Calibri"/>
          <w:b/>
          <w:bCs/>
          <w:color w:val="16224D"/>
          <w:sz w:val="23"/>
          <w:szCs w:val="23"/>
        </w:rPr>
        <w:t xml:space="preserve">	3</w:t>
      </w:r>
    </w:p>
    <w:p>
      <w:pPr>
        <w:tabs>
          <w:tab w:val="right" w:pos="9026" w:leader="dot"/>
        </w:tabs>
        <w:spacing w:after="140"/>
      </w:pPr>
      <w:r>
        <w:rPr>
          <w:rFonts w:ascii="Calibri" w:cs="Calibri" w:eastAsia="Calibri" w:hAnsi="Calibri"/>
          <w:b/>
          <w:bCs/>
          <w:color w:val="16224D"/>
          <w:sz w:val="23"/>
          <w:szCs w:val="23"/>
        </w:rPr>
        <w:t xml:space="preserve">1.  Introduction &amp; Problem Statement</w:t>
      </w:r>
      <w:r>
        <w:rPr>
          <w:rFonts w:ascii="Calibri" w:cs="Calibri" w:eastAsia="Calibri" w:hAnsi="Calibri"/>
          <w:b/>
          <w:bCs/>
          <w:color w:val="16224D"/>
          <w:sz w:val="23"/>
          <w:szCs w:val="23"/>
        </w:rPr>
        <w:t xml:space="preserve">	4</w:t>
      </w:r>
    </w:p>
    <w:p>
      <w:pPr>
        <w:tabs>
          <w:tab w:val="right" w:pos="9026" w:leader="dot"/>
        </w:tabs>
        <w:spacing w:after="140"/>
      </w:pPr>
      <w:r>
        <w:rPr>
          <w:rFonts w:ascii="Calibri" w:cs="Calibri" w:eastAsia="Calibri" w:hAnsi="Calibri"/>
          <w:b/>
          <w:bCs/>
          <w:color w:val="16224D"/>
          <w:sz w:val="23"/>
          <w:szCs w:val="23"/>
        </w:rPr>
        <w:t xml:space="preserve">2.  Objectives &amp; Key Advantages</w:t>
      </w:r>
      <w:r>
        <w:rPr>
          <w:rFonts w:ascii="Calibri" w:cs="Calibri" w:eastAsia="Calibri" w:hAnsi="Calibri"/>
          <w:b/>
          <w:bCs/>
          <w:color w:val="16224D"/>
          <w:sz w:val="23"/>
          <w:szCs w:val="23"/>
        </w:rPr>
        <w:t xml:space="preserve">	5</w:t>
      </w:r>
    </w:p>
    <w:p>
      <w:pPr>
        <w:tabs>
          <w:tab w:val="right" w:pos="9026" w:leader="dot"/>
        </w:tabs>
        <w:spacing w:after="140"/>
      </w:pPr>
      <w:r>
        <w:rPr>
          <w:rFonts w:ascii="Calibri" w:cs="Calibri" w:eastAsia="Calibri" w:hAnsi="Calibri"/>
          <w:b/>
          <w:bCs/>
          <w:color w:val="16224D"/>
          <w:sz w:val="23"/>
          <w:szCs w:val="23"/>
        </w:rPr>
        <w:t xml:space="preserve">3.  System Architecture</w:t>
      </w:r>
      <w:r>
        <w:rPr>
          <w:rFonts w:ascii="Calibri" w:cs="Calibri" w:eastAsia="Calibri" w:hAnsi="Calibri"/>
          <w:b/>
          <w:bCs/>
          <w:color w:val="16224D"/>
          <w:sz w:val="23"/>
          <w:szCs w:val="23"/>
        </w:rPr>
        <w:t xml:space="preserve">	6</w:t>
      </w:r>
    </w:p>
    <w:p>
      <w:pPr>
        <w:tabs>
          <w:tab w:val="right" w:pos="9026" w:leader="dot"/>
        </w:tabs>
        <w:spacing w:after="140"/>
      </w:pPr>
      <w:r>
        <w:rPr>
          <w:rFonts w:ascii="Calibri" w:cs="Calibri" w:eastAsia="Calibri" w:hAnsi="Calibri"/>
          <w:b/>
          <w:bCs/>
          <w:color w:val="16224D"/>
          <w:sz w:val="23"/>
          <w:szCs w:val="23"/>
        </w:rPr>
        <w:t xml:space="preserve">4.  Technology Stack</w:t>
      </w:r>
      <w:r>
        <w:rPr>
          <w:rFonts w:ascii="Calibri" w:cs="Calibri" w:eastAsia="Calibri" w:hAnsi="Calibri"/>
          <w:b/>
          <w:bCs/>
          <w:color w:val="16224D"/>
          <w:sz w:val="23"/>
          <w:szCs w:val="23"/>
        </w:rPr>
        <w:t xml:space="preserve">	7</w:t>
      </w:r>
    </w:p>
    <w:p>
      <w:pPr>
        <w:tabs>
          <w:tab w:val="right" w:pos="9026" w:leader="dot"/>
        </w:tabs>
        <w:spacing w:after="140"/>
      </w:pPr>
      <w:r>
        <w:rPr>
          <w:rFonts w:ascii="Calibri" w:cs="Calibri" w:eastAsia="Calibri" w:hAnsi="Calibri"/>
          <w:b/>
          <w:bCs/>
          <w:color w:val="16224D"/>
          <w:sz w:val="23"/>
          <w:szCs w:val="23"/>
        </w:rPr>
        <w:t xml:space="preserve">5.  Module 1 — Payslip Analysis &amp; Loan Eligibility</w:t>
      </w:r>
      <w:r>
        <w:rPr>
          <w:rFonts w:ascii="Calibri" w:cs="Calibri" w:eastAsia="Calibri" w:hAnsi="Calibri"/>
          <w:b/>
          <w:bCs/>
          <w:color w:val="16224D"/>
          <w:sz w:val="23"/>
          <w:szCs w:val="23"/>
        </w:rPr>
        <w:t xml:space="preserve">	8</w:t>
      </w:r>
    </w:p>
    <w:p>
      <w:pPr>
        <w:tabs>
          <w:tab w:val="right" w:pos="9026" w:leader="dot"/>
        </w:tabs>
        <w:spacing w:after="90"/>
      </w:pPr>
      <w:r>
        <w:rPr>
          <w:rFonts w:ascii="Calibri" w:cs="Calibri" w:eastAsia="Calibri" w:hAnsi="Calibri"/>
          <w:b w:val="false"/>
          <w:bCs w:val="false"/>
          <w:color w:val="20293B"/>
          <w:sz w:val="21"/>
          <w:szCs w:val="21"/>
        </w:rPr>
        <w:t xml:space="preserve">       5.1  Screenshots: Login &amp; Dashboard</w:t>
      </w:r>
      <w:r>
        <w:rPr>
          <w:rFonts w:ascii="Calibri" w:cs="Calibri" w:eastAsia="Calibri" w:hAnsi="Calibri"/>
          <w:b w:val="false"/>
          <w:bCs w:val="false"/>
          <w:color w:val="5B6472"/>
          <w:sz w:val="21"/>
          <w:szCs w:val="21"/>
        </w:rPr>
        <w:t xml:space="preserve">	9</w:t>
      </w:r>
    </w:p>
    <w:p>
      <w:pPr>
        <w:tabs>
          <w:tab w:val="right" w:pos="9026" w:leader="dot"/>
        </w:tabs>
        <w:spacing w:after="90"/>
      </w:pPr>
      <w:r>
        <w:rPr>
          <w:rFonts w:ascii="Calibri" w:cs="Calibri" w:eastAsia="Calibri" w:hAnsi="Calibri"/>
          <w:b w:val="false"/>
          <w:bCs w:val="false"/>
          <w:color w:val="20293B"/>
          <w:sz w:val="21"/>
          <w:szCs w:val="21"/>
        </w:rPr>
        <w:t xml:space="preserve">       5.2  Screenshots: Upload &amp; Analysis Result</w:t>
      </w:r>
      <w:r>
        <w:rPr>
          <w:rFonts w:ascii="Calibri" w:cs="Calibri" w:eastAsia="Calibri" w:hAnsi="Calibri"/>
          <w:b w:val="false"/>
          <w:bCs w:val="false"/>
          <w:color w:val="5B6472"/>
          <w:sz w:val="21"/>
          <w:szCs w:val="21"/>
        </w:rPr>
        <w:t xml:space="preserve">	10</w:t>
      </w:r>
    </w:p>
    <w:p>
      <w:pPr>
        <w:tabs>
          <w:tab w:val="right" w:pos="9026" w:leader="dot"/>
        </w:tabs>
        <w:spacing w:after="140"/>
      </w:pPr>
      <w:r>
        <w:rPr>
          <w:rFonts w:ascii="Calibri" w:cs="Calibri" w:eastAsia="Calibri" w:hAnsi="Calibri"/>
          <w:b/>
          <w:bCs/>
          <w:color w:val="16224D"/>
          <w:sz w:val="23"/>
          <w:szCs w:val="23"/>
        </w:rPr>
        <w:t xml:space="preserve">6.  Module 2 — Bank Statement Analysis with BERT</w:t>
      </w:r>
      <w:r>
        <w:rPr>
          <w:rFonts w:ascii="Calibri" w:cs="Calibri" w:eastAsia="Calibri" w:hAnsi="Calibri"/>
          <w:b/>
          <w:bCs/>
          <w:color w:val="16224D"/>
          <w:sz w:val="23"/>
          <w:szCs w:val="23"/>
        </w:rPr>
        <w:t xml:space="preserve">	11</w:t>
      </w:r>
    </w:p>
    <w:p>
      <w:pPr>
        <w:tabs>
          <w:tab w:val="right" w:pos="9026" w:leader="dot"/>
        </w:tabs>
        <w:spacing w:after="90"/>
      </w:pPr>
      <w:r>
        <w:rPr>
          <w:rFonts w:ascii="Calibri" w:cs="Calibri" w:eastAsia="Calibri" w:hAnsi="Calibri"/>
          <w:b w:val="false"/>
          <w:bCs w:val="false"/>
          <w:color w:val="20293B"/>
          <w:sz w:val="21"/>
          <w:szCs w:val="21"/>
        </w:rPr>
        <w:t xml:space="preserve">       6.1  Screenshots: Upload &amp; Bar Chart</w:t>
      </w:r>
      <w:r>
        <w:rPr>
          <w:rFonts w:ascii="Calibri" w:cs="Calibri" w:eastAsia="Calibri" w:hAnsi="Calibri"/>
          <w:b w:val="false"/>
          <w:bCs w:val="false"/>
          <w:color w:val="5B6472"/>
          <w:sz w:val="21"/>
          <w:szCs w:val="21"/>
        </w:rPr>
        <w:t xml:space="preserve">	12</w:t>
      </w:r>
    </w:p>
    <w:p>
      <w:pPr>
        <w:tabs>
          <w:tab w:val="right" w:pos="9026" w:leader="dot"/>
        </w:tabs>
        <w:spacing w:after="90"/>
      </w:pPr>
      <w:r>
        <w:rPr>
          <w:rFonts w:ascii="Calibri" w:cs="Calibri" w:eastAsia="Calibri" w:hAnsi="Calibri"/>
          <w:b w:val="false"/>
          <w:bCs w:val="false"/>
          <w:color w:val="20293B"/>
          <w:sz w:val="21"/>
          <w:szCs w:val="21"/>
        </w:rPr>
        <w:t xml:space="preserve">       6.2  Screenshot: Pie Chart &amp; Key Insights</w:t>
      </w:r>
      <w:r>
        <w:rPr>
          <w:rFonts w:ascii="Calibri" w:cs="Calibri" w:eastAsia="Calibri" w:hAnsi="Calibri"/>
          <w:b w:val="false"/>
          <w:bCs w:val="false"/>
          <w:color w:val="5B6472"/>
          <w:sz w:val="21"/>
          <w:szCs w:val="21"/>
        </w:rPr>
        <w:t xml:space="preserve">	13</w:t>
      </w:r>
    </w:p>
    <w:p>
      <w:pPr>
        <w:tabs>
          <w:tab w:val="right" w:pos="9026" w:leader="dot"/>
        </w:tabs>
        <w:spacing w:after="140"/>
      </w:pPr>
      <w:r>
        <w:rPr>
          <w:rFonts w:ascii="Calibri" w:cs="Calibri" w:eastAsia="Calibri" w:hAnsi="Calibri"/>
          <w:b/>
          <w:bCs/>
          <w:color w:val="16224D"/>
          <w:sz w:val="23"/>
          <w:szCs w:val="23"/>
        </w:rPr>
        <w:t xml:space="preserve">7.  Results &amp; Conclusion</w:t>
      </w:r>
      <w:r>
        <w:rPr>
          <w:rFonts w:ascii="Calibri" w:cs="Calibri" w:eastAsia="Calibri" w:hAnsi="Calibri"/>
          <w:b/>
          <w:bCs/>
          <w:color w:val="16224D"/>
          <w:sz w:val="23"/>
          <w:szCs w:val="23"/>
        </w:rPr>
        <w:t xml:space="preserve">	14</w:t>
      </w:r>
    </w:p>
    <w:p>
      <w:pPr>
        <w:tabs>
          <w:tab w:val="right" w:pos="9026" w:leader="dot"/>
        </w:tabs>
        <w:spacing w:after="140"/>
      </w:pPr>
      <w:r>
        <w:rPr>
          <w:rFonts w:ascii="Calibri" w:cs="Calibri" w:eastAsia="Calibri" w:hAnsi="Calibri"/>
          <w:b/>
          <w:bCs/>
          <w:color w:val="16224D"/>
          <w:sz w:val="23"/>
          <w:szCs w:val="23"/>
        </w:rPr>
        <w:t xml:space="preserve">8.  Future Scope &amp; References</w:t>
      </w:r>
      <w:r>
        <w:rPr>
          <w:rFonts w:ascii="Calibri" w:cs="Calibri" w:eastAsia="Calibri" w:hAnsi="Calibri"/>
          <w:b/>
          <w:bCs/>
          <w:color w:val="16224D"/>
          <w:sz w:val="23"/>
          <w:szCs w:val="23"/>
        </w:rPr>
        <w:t xml:space="preserve">	15</w:t>
      </w:r>
    </w:p>
    <w:p>
      <w:r>
        <w:br w:type="page"/>
      </w:r>
    </w:p>
    <w:p>
      <w:pPr>
        <w:spacing w:after="80"/>
      </w:pPr>
      <w:r>
        <w:rPr>
          <w:rFonts w:ascii="Calibri" w:cs="Calibri" w:eastAsia="Calibri" w:hAnsi="Calibri"/>
          <w:b/>
          <w:bCs/>
          <w:color w:val="AD6F17"/>
          <w:spacing w:val="20"/>
          <w:sz w:val="19"/>
          <w:szCs w:val="19"/>
        </w:rPr>
        <w:t xml:space="preserve">PROJECT OVERVIEW</w:t>
      </w:r>
    </w:p>
    <w:p>
      <w:pPr>
        <w:pBdr>
          <w:bottom w:val="single" w:color="D8DFEE" w:sz="6" w:space="8"/>
        </w:pBdr>
        <w:spacing w:after="260"/>
      </w:pPr>
      <w:r>
        <w:rPr>
          <w:rFonts w:ascii="Cambria" w:cs="Cambria" w:eastAsia="Cambria" w:hAnsi="Cambria"/>
          <w:b/>
          <w:bCs/>
          <w:color w:val="16224D"/>
          <w:sz w:val="34"/>
          <w:szCs w:val="34"/>
        </w:rPr>
        <w:t xml:space="preserve">Abstract</w:t>
      </w:r>
    </w:p>
    <w:p>
      <w:pPr>
        <w:spacing w:after="220" w:line="300"/>
        <w:jc w:val="left"/>
      </w:pPr>
      <w:r>
        <w:rPr>
          <w:rFonts w:ascii="Calibri" w:cs="Calibri" w:eastAsia="Calibri" w:hAnsi="Calibri"/>
          <w:b/>
          <w:bCs/>
          <w:color w:val="20293B"/>
          <w:sz w:val="21"/>
          <w:szCs w:val="21"/>
        </w:rPr>
        <w:t xml:space="preserve">AI Financial Analyzer</w:t>
      </w:r>
      <w:r>
        <w:rPr>
          <w:rFonts w:ascii="Calibri" w:cs="Calibri" w:eastAsia="Calibri" w:hAnsi="Calibri"/>
          <w:i w:val="false"/>
          <w:iCs w:val="false"/>
          <w:color w:val="20293B"/>
          <w:sz w:val="21"/>
          <w:szCs w:val="21"/>
        </w:rPr>
        <w:t xml:space="preserve"> is a secure, login-protected web application that unites two independent financial-intelligence tools inside a single dashboard. The first module reads an uploaded payslip, detects its salary components — </w:t>
      </w:r>
      <w:r>
        <w:rPr>
          <w:rFonts w:ascii="Calibri" w:cs="Calibri" w:eastAsia="Calibri" w:hAnsi="Calibri"/>
          <w:b/>
          <w:bCs/>
          <w:color w:val="20293B"/>
          <w:sz w:val="21"/>
          <w:szCs w:val="21"/>
        </w:rPr>
        <w:t xml:space="preserve">Basic, HRA, Medical, Conveyance and Other</w:t>
      </w:r>
      <w:r>
        <w:rPr>
          <w:rFonts w:ascii="Calibri" w:cs="Calibri" w:eastAsia="Calibri" w:hAnsi="Calibri"/>
          <w:i w:val="false"/>
          <w:iCs w:val="false"/>
          <w:color w:val="20293B"/>
          <w:sz w:val="21"/>
          <w:szCs w:val="21"/>
        </w:rPr>
        <w:t xml:space="preserve"> — computes the Gross and Net income, and instantly determines whether the applicant is eligible for a loan against a defined income threshold. The second module reads an uploaded bank statement, extracts every individual transaction, and classifies each one into a spending category using a fine-tuned </w:t>
      </w:r>
      <w:r>
        <w:rPr>
          <w:rFonts w:ascii="Calibri" w:cs="Calibri" w:eastAsia="Calibri" w:hAnsi="Calibri"/>
          <w:b/>
          <w:bCs/>
          <w:color w:val="20293B"/>
          <w:sz w:val="21"/>
          <w:szCs w:val="21"/>
        </w:rPr>
        <w:t xml:space="preserve">BERT</w:t>
      </w:r>
      <w:r>
        <w:rPr>
          <w:rFonts w:ascii="Calibri" w:cs="Calibri" w:eastAsia="Calibri" w:hAnsi="Calibri"/>
          <w:i w:val="false"/>
          <w:iCs w:val="false"/>
          <w:color w:val="20293B"/>
          <w:sz w:val="21"/>
          <w:szCs w:val="21"/>
        </w:rPr>
        <w:t xml:space="preserve"> language model.</w:t>
      </w:r>
    </w:p>
    <w:p>
      <w:pPr>
        <w:spacing w:after="220" w:line="300"/>
        <w:jc w:val="left"/>
      </w:pPr>
      <w:r>
        <w:rPr>
          <w:rFonts w:ascii="Calibri" w:cs="Calibri" w:eastAsia="Calibri" w:hAnsi="Calibri"/>
          <w:i w:val="false"/>
          <w:iCs w:val="false"/>
          <w:color w:val="20293B"/>
          <w:sz w:val="21"/>
          <w:szCs w:val="21"/>
        </w:rPr>
        <w:t xml:space="preserve">Both modules convert raw financial data into clear, interactive visualizations — pie charts for distribution and a bar plot for ranked category totals — removing the need for manual review of documents that are traditionally read line by line. The result is a faster, more consistent, and significantly more accessible way to evaluate loan eligibility and understand personal spending behaviour.</w:t>
      </w:r>
    </w:p>
    <w:p>
      <w:pPr>
        <w:spacing w:after="220" w:line="300"/>
        <w:jc w:val="left"/>
      </w:pPr>
      <w:r>
        <w:rPr>
          <w:rFonts w:ascii="Calibri" w:cs="Calibri" w:eastAsia="Calibri" w:hAnsi="Calibri"/>
          <w:i w:val="false"/>
          <w:iCs w:val="false"/>
          <w:color w:val="20293B"/>
          <w:sz w:val="21"/>
          <w:szCs w:val="21"/>
        </w:rPr>
        <w:t xml:space="preserve">The system is built entirely in </w:t>
      </w:r>
      <w:r>
        <w:rPr>
          <w:rFonts w:ascii="Calibri" w:cs="Calibri" w:eastAsia="Calibri" w:hAnsi="Calibri"/>
          <w:b/>
          <w:bCs/>
          <w:color w:val="20293B"/>
          <w:sz w:val="21"/>
          <w:szCs w:val="21"/>
        </w:rPr>
        <w:t xml:space="preserve">Python</w:t>
      </w:r>
      <w:r>
        <w:rPr>
          <w:rFonts w:ascii="Calibri" w:cs="Calibri" w:eastAsia="Calibri" w:hAnsi="Calibri"/>
          <w:i w:val="false"/>
          <w:iCs w:val="false"/>
          <w:color w:val="20293B"/>
          <w:sz w:val="21"/>
          <w:szCs w:val="21"/>
        </w:rPr>
        <w:t xml:space="preserve">, using </w:t>
      </w:r>
      <w:r>
        <w:rPr>
          <w:rFonts w:ascii="Calibri" w:cs="Calibri" w:eastAsia="Calibri" w:hAnsi="Calibri"/>
          <w:b/>
          <w:bCs/>
          <w:color w:val="20293B"/>
          <w:sz w:val="21"/>
          <w:szCs w:val="21"/>
        </w:rPr>
        <w:t xml:space="preserve">Flask</w:t>
      </w:r>
      <w:r>
        <w:rPr>
          <w:rFonts w:ascii="Calibri" w:cs="Calibri" w:eastAsia="Calibri" w:hAnsi="Calibri"/>
          <w:i w:val="false"/>
          <w:iCs w:val="false"/>
          <w:color w:val="20293B"/>
          <w:sz w:val="21"/>
          <w:szCs w:val="21"/>
        </w:rPr>
        <w:t xml:space="preserve"> for the backend, OCR and regex-based parsing for payslip extraction, and a transformer-based BERT model for transaction classification, with </w:t>
      </w:r>
      <w:r>
        <w:rPr>
          <w:rFonts w:ascii="Calibri" w:cs="Calibri" w:eastAsia="Calibri" w:hAnsi="Calibri"/>
          <w:b/>
          <w:bCs/>
          <w:color w:val="20293B"/>
          <w:sz w:val="21"/>
          <w:szCs w:val="21"/>
        </w:rPr>
        <w:t xml:space="preserve">Matplotlib</w:t>
      </w:r>
      <w:r>
        <w:rPr>
          <w:rFonts w:ascii="Calibri" w:cs="Calibri" w:eastAsia="Calibri" w:hAnsi="Calibri"/>
          <w:i w:val="false"/>
          <w:iCs w:val="false"/>
          <w:color w:val="20293B"/>
          <w:sz w:val="21"/>
          <w:szCs w:val="21"/>
        </w:rPr>
        <w:t xml:space="preserve"> powering all visual output.</w:t>
      </w:r>
    </w:p>
    <w:p>
      <w:pPr>
        <w:spacing w:after="100" w:line="300"/>
        <w:jc w:val="left"/>
      </w:pPr>
      <w:r>
        <w:rPr>
          <w:rFonts w:ascii="Calibri" w:cs="Calibri" w:eastAsia="Calibri" w:hAnsi="Calibri"/>
          <w:i w:val="false"/>
          <w:iCs w:val="false"/>
          <w:color w:val="20293B"/>
          <w:sz w:val="21"/>
          <w:szCs w:val="21"/>
        </w:rPr>
        <w:t xml:space="preserve">By keeping both tools inside a single authenticated dashboard, </w:t>
      </w:r>
      <w:r>
        <w:rPr>
          <w:rFonts w:ascii="Calibri" w:cs="Calibri" w:eastAsia="Calibri" w:hAnsi="Calibri"/>
          <w:b/>
          <w:bCs/>
          <w:color w:val="20293B"/>
          <w:sz w:val="21"/>
          <w:szCs w:val="21"/>
        </w:rPr>
        <w:t xml:space="preserve">AI Financial Analyzer</w:t>
      </w:r>
      <w:r>
        <w:rPr>
          <w:rFonts w:ascii="Calibri" w:cs="Calibri" w:eastAsia="Calibri" w:hAnsi="Calibri"/>
          <w:i w:val="false"/>
          <w:iCs w:val="false"/>
          <w:color w:val="20293B"/>
          <w:sz w:val="21"/>
          <w:szCs w:val="21"/>
        </w:rPr>
        <w:t xml:space="preserve"> is designed to serve a wide range of everyday use cases — from an individual checking loan eligibility ahead of a bank visit, to a user simply trying to understand where their monthly salary actually goes. The emphasis throughout the design has been on </w:t>
      </w:r>
      <w:r>
        <w:rPr>
          <w:rFonts w:ascii="Calibri" w:cs="Calibri" w:eastAsia="Calibri" w:hAnsi="Calibri"/>
          <w:b/>
          <w:bCs/>
          <w:color w:val="20293B"/>
          <w:sz w:val="21"/>
          <w:szCs w:val="21"/>
        </w:rPr>
        <w:t xml:space="preserve">speed, clarity and trust</w:t>
      </w:r>
      <w:r>
        <w:rPr>
          <w:rFonts w:ascii="Calibri" w:cs="Calibri" w:eastAsia="Calibri" w:hAnsi="Calibri"/>
          <w:i w:val="false"/>
          <w:iCs w:val="false"/>
          <w:color w:val="20293B"/>
          <w:sz w:val="21"/>
          <w:szCs w:val="21"/>
        </w:rPr>
        <w:t xml:space="preserve">: every result is explained visually rather than buried in numbers, so the output is useful even to someone with no financial background.</w:t>
      </w:r>
    </w:p>
    <w:p>
      <w:r>
        <w:br w:type="page"/>
      </w:r>
    </w:p>
    <w:p>
      <w:pPr>
        <w:spacing w:after="80"/>
      </w:pPr>
      <w:r>
        <w:rPr>
          <w:rFonts w:ascii="Calibri" w:cs="Calibri" w:eastAsia="Calibri" w:hAnsi="Calibri"/>
          <w:b/>
          <w:bCs/>
          <w:color w:val="AD6F17"/>
          <w:spacing w:val="20"/>
          <w:sz w:val="19"/>
          <w:szCs w:val="19"/>
        </w:rPr>
        <w:t xml:space="preserve">CHAPTER 1</w:t>
      </w:r>
    </w:p>
    <w:p>
      <w:pPr>
        <w:pBdr>
          <w:bottom w:val="single" w:color="D8DFEE" w:sz="6" w:space="8"/>
        </w:pBdr>
        <w:spacing w:after="260"/>
      </w:pPr>
      <w:r>
        <w:rPr>
          <w:rFonts w:ascii="Cambria" w:cs="Cambria" w:eastAsia="Cambria" w:hAnsi="Cambria"/>
          <w:b/>
          <w:bCs/>
          <w:color w:val="16224D"/>
          <w:sz w:val="34"/>
          <w:szCs w:val="34"/>
        </w:rPr>
        <w:t xml:space="preserve">Introduction &amp; Problem Statement</w:t>
      </w:r>
    </w:p>
    <w:p>
      <w:pPr>
        <w:spacing w:after="140" w:before="200"/>
      </w:pPr>
      <w:r>
        <w:rPr>
          <w:rFonts w:ascii="Cambria" w:cs="Cambria" w:eastAsia="Cambria" w:hAnsi="Cambria"/>
          <w:b/>
          <w:bCs/>
          <w:color w:val="16224D"/>
          <w:sz w:val="24"/>
          <w:szCs w:val="24"/>
        </w:rPr>
        <w:t xml:space="preserve">Introduction</w:t>
      </w:r>
    </w:p>
    <w:p>
      <w:pPr>
        <w:spacing w:after="200" w:line="300"/>
        <w:jc w:val="left"/>
      </w:pPr>
      <w:r>
        <w:rPr>
          <w:rFonts w:ascii="Calibri" w:cs="Calibri" w:eastAsia="Calibri" w:hAnsi="Calibri"/>
          <w:i w:val="false"/>
          <w:iCs w:val="false"/>
          <w:color w:val="20293B"/>
          <w:sz w:val="21"/>
          <w:szCs w:val="21"/>
        </w:rPr>
        <w:t xml:space="preserve">Every loan application and every monthly budget begins with the same tedious task: reading a document and making sense of the numbers inside it. Payslips list salary components in inconsistent formats across companies, and bank statements list dozens of transactions with cryptic merchant codes instead of readable categories. Doing this by hand does not scale, and doing it inconsistently leads to poor financial decisions.</w:t>
      </w:r>
    </w:p>
    <w:p>
      <w:pPr>
        <w:spacing w:after="260" w:line="300"/>
        <w:jc w:val="left"/>
      </w:pPr>
      <w:r>
        <w:rPr>
          <w:rFonts w:ascii="Calibri" w:cs="Calibri" w:eastAsia="Calibri" w:hAnsi="Calibri"/>
          <w:b/>
          <w:bCs/>
          <w:color w:val="20293B"/>
          <w:sz w:val="21"/>
          <w:szCs w:val="21"/>
        </w:rPr>
        <w:t xml:space="preserve">AI Financial Analyzer</w:t>
      </w:r>
      <w:r>
        <w:rPr>
          <w:rFonts w:ascii="Calibri" w:cs="Calibri" w:eastAsia="Calibri" w:hAnsi="Calibri"/>
          <w:i w:val="false"/>
          <w:iCs w:val="false"/>
          <w:color w:val="20293B"/>
          <w:sz w:val="21"/>
          <w:szCs w:val="21"/>
        </w:rPr>
        <w:t xml:space="preserve"> was built to remove that manual burden entirely — combining document parsing, rule-based decision logic, and a machine learning classifier behind one secure login, so that a payslip or a bank statement can be turned into a decision or an insight within seconds of being uploaded.</w:t>
      </w:r>
    </w:p>
    <w:p>
      <w:pPr>
        <w:spacing w:after="140" w:before="200"/>
      </w:pPr>
      <w:r>
        <w:rPr>
          <w:rFonts w:ascii="Cambria" w:cs="Cambria" w:eastAsia="Cambria" w:hAnsi="Cambria"/>
          <w:b/>
          <w:bCs/>
          <w:color w:val="16224D"/>
          <w:sz w:val="24"/>
          <w:szCs w:val="24"/>
        </w:rPr>
        <w:t xml:space="preserve">The Problem</w:t>
      </w:r>
    </w:p>
    <w:p>
      <w:pPr>
        <w:spacing w:after="200" w:line="300"/>
        <w:jc w:val="left"/>
      </w:pPr>
      <w:r>
        <w:rPr>
          <w:rFonts w:ascii="Calibri" w:cs="Calibri" w:eastAsia="Calibri" w:hAnsi="Calibri"/>
          <w:i w:val="false"/>
          <w:iCs w:val="false"/>
          <w:color w:val="20293B"/>
          <w:sz w:val="21"/>
          <w:szCs w:val="21"/>
        </w:rPr>
        <w:t xml:space="preserve">Manually reading payslips and bank statements to judge loan eligibility or track expenses is slow, inconsistent, and requires a level of financial literacy that most individual users do not have. Loan applicants wait longer than necessary for an eligibility decision that is really just arithmetic, and everyday spending goes completely untracked simply because categorizing dozens of transactions by hand is tedious and error-prone.</w:t>
      </w:r>
    </w:p>
    <w:tbl>
      <w:tblPr>
        <w:tblW w:type="dxa" w:w="9906"/>
        <w:tblBorders>
          <w:top w:val="single" w:color="B43A2F" w:sz="8"/>
          <w:left w:val="single" w:color="B43A2F" w:sz="8"/>
          <w:bottom w:val="single" w:color="B43A2F" w:sz="8"/>
          <w:right w:val="single" w:color="B43A2F" w:sz="8"/>
          <w:insideH w:val="single" w:color="auto" w:sz="4"/>
          <w:insideV w:val="single" w:color="auto" w:sz="4"/>
        </w:tblBorders>
      </w:tblPr>
      <w:tblGrid>
        <w:gridCol w:w="100"/>
      </w:tblGrid>
      <w:tr>
        <w:tc>
          <w:tcPr>
            <w:shd w:fill="F7E3E0" w:val="clear"/>
            <w:tcMar>
              <w:top w:type="dxa" w:w="200"/>
              <w:left w:type="dxa" w:w="260"/>
              <w:bottom w:type="dxa" w:w="200"/>
              <w:right w:type="dxa" w:w="260"/>
            </w:tcMar>
          </w:tcPr>
          <w:p>
            <w:r>
              <w:rPr>
                <w:rFonts w:ascii="Calibri" w:cs="Calibri" w:eastAsia="Calibri" w:hAnsi="Calibri"/>
                <w:b/>
                <w:bCs/>
                <w:color w:val="B43A2F"/>
                <w:sz w:val="20"/>
                <w:szCs w:val="20"/>
              </w:rPr>
              <w:t xml:space="preserve">Core Challenge</w:t>
            </w:r>
          </w:p>
          <w:p>
            <w:pPr>
              <w:spacing w:before="60"/>
            </w:pPr>
            <w:r>
              <w:rPr>
                <w:rFonts w:ascii="Calibri" w:cs="Calibri" w:eastAsia="Calibri" w:hAnsi="Calibri"/>
                <w:i/>
                <w:iCs/>
                <w:color w:val="20293B"/>
                <w:sz w:val="20"/>
                <w:szCs w:val="20"/>
              </w:rPr>
              <w:t xml:space="preserve">There is no single, secure, self-service tool that reads both a payslip and a bank statement, and turns each into an immediate, visual, actionable result — without manual data entry.</w:t>
            </w:r>
          </w:p>
        </w:tc>
      </w:tr>
    </w:tbl>
    <w:p>
      <w:pPr>
        <w:spacing w:after="140" w:before="200"/>
      </w:pPr>
      <w:r>
        <w:rPr>
          <w:rFonts w:ascii="Cambria" w:cs="Cambria" w:eastAsia="Cambria" w:hAnsi="Cambria"/>
          <w:b/>
          <w:bCs/>
          <w:color w:val="16224D"/>
          <w:sz w:val="24"/>
          <w:szCs w:val="24"/>
        </w:rPr>
        <w:t xml:space="preserve">Scope of the Project</w:t>
      </w:r>
    </w:p>
    <w:p>
      <w:pPr>
        <w:spacing w:after="100" w:line="300"/>
        <w:jc w:val="left"/>
      </w:pPr>
      <w:r>
        <w:rPr>
          <w:rFonts w:ascii="Calibri" w:cs="Calibri" w:eastAsia="Calibri" w:hAnsi="Calibri"/>
          <w:i w:val="false"/>
          <w:iCs w:val="false"/>
          <w:color w:val="20293B"/>
          <w:sz w:val="21"/>
          <w:szCs w:val="21"/>
        </w:rPr>
        <w:t xml:space="preserve">The scope of this project is intentionally focused on two high-value, self-contained problems rather than attempting to be a full personal-finance suite. Module 1 restricts itself to salary-slip parsing and a transparent, rule-based eligibility check, while Module 2 restricts itself to statement parsing and category-level classification. This narrower scope made it possible to reach a working, demonstrable system within the internship timeline, while leaving clear, well-defined extension points — outlined in the </w:t>
      </w:r>
      <w:r>
        <w:rPr>
          <w:rFonts w:ascii="Calibri" w:cs="Calibri" w:eastAsia="Calibri" w:hAnsi="Calibri"/>
          <w:b/>
          <w:bCs/>
          <w:color w:val="20293B"/>
          <w:sz w:val="21"/>
          <w:szCs w:val="21"/>
        </w:rPr>
        <w:t xml:space="preserve">Future Scope</w:t>
      </w:r>
      <w:r>
        <w:rPr>
          <w:rFonts w:ascii="Calibri" w:cs="Calibri" w:eastAsia="Calibri" w:hAnsi="Calibri"/>
          <w:i w:val="false"/>
          <w:iCs w:val="false"/>
          <w:color w:val="20293B"/>
          <w:sz w:val="21"/>
          <w:szCs w:val="21"/>
        </w:rPr>
        <w:t xml:space="preserve"> chapter — for later development.</w:t>
      </w:r>
    </w:p>
    <w:p>
      <w:r>
        <w:br w:type="page"/>
      </w:r>
    </w:p>
    <w:p>
      <w:pPr>
        <w:spacing w:after="80"/>
      </w:pPr>
      <w:r>
        <w:rPr>
          <w:rFonts w:ascii="Calibri" w:cs="Calibri" w:eastAsia="Calibri" w:hAnsi="Calibri"/>
          <w:b/>
          <w:bCs/>
          <w:color w:val="AD6F17"/>
          <w:spacing w:val="20"/>
          <w:sz w:val="19"/>
          <w:szCs w:val="19"/>
        </w:rPr>
        <w:t xml:space="preserve">CHAPTER 2</w:t>
      </w:r>
    </w:p>
    <w:p>
      <w:pPr>
        <w:pBdr>
          <w:bottom w:val="single" w:color="D8DFEE" w:sz="6" w:space="8"/>
        </w:pBdr>
        <w:spacing w:after="260"/>
      </w:pPr>
      <w:r>
        <w:rPr>
          <w:rFonts w:ascii="Cambria" w:cs="Cambria" w:eastAsia="Cambria" w:hAnsi="Cambria"/>
          <w:b/>
          <w:bCs/>
          <w:color w:val="16224D"/>
          <w:sz w:val="34"/>
          <w:szCs w:val="34"/>
        </w:rPr>
        <w:t xml:space="preserve">Objectives &amp; Key Advantages</w:t>
      </w:r>
    </w:p>
    <w:p>
      <w:pPr>
        <w:spacing w:after="140" w:before="200"/>
      </w:pPr>
      <w:r>
        <w:rPr>
          <w:rFonts w:ascii="Cambria" w:cs="Cambria" w:eastAsia="Cambria" w:hAnsi="Cambria"/>
          <w:b/>
          <w:bCs/>
          <w:color w:val="16224D"/>
          <w:sz w:val="24"/>
          <w:szCs w:val="24"/>
        </w:rPr>
        <w:t xml:space="preserve">Objectives</w:t>
      </w:r>
    </w:p>
    <w:p>
      <w:pPr>
        <w:tabs>
          <w:tab w:val="left" w:pos="420"/>
        </w:tabs>
        <w:spacing w:after="150" w:line="280"/>
      </w:pPr>
      <w:r>
        <w:rPr>
          <w:rFonts w:ascii="Calibri" w:cs="Calibri" w:eastAsia="Calibri" w:hAnsi="Calibri"/>
          <w:b/>
          <w:bCs/>
          <w:color w:val="AD6F17"/>
          <w:sz w:val="22"/>
          <w:szCs w:val="22"/>
        </w:rPr>
        <w:t xml:space="preserve">1. </w:t>
      </w:r>
      <w:r>
        <w:rPr>
          <w:rFonts w:ascii="Calibri" w:cs="Calibri" w:eastAsia="Calibri" w:hAnsi="Calibri"/>
          <w:b/>
          <w:bCs/>
          <w:color w:val="16224D"/>
          <w:sz w:val="22"/>
          <w:szCs w:val="22"/>
        </w:rPr>
        <w:t xml:space="preserve">Extract salary components  —  </w:t>
      </w:r>
      <w:r>
        <w:rPr>
          <w:rFonts w:ascii="Calibri" w:cs="Calibri" w:eastAsia="Calibri" w:hAnsi="Calibri"/>
          <w:color w:val="20293B"/>
          <w:sz w:val="21"/>
          <w:szCs w:val="21"/>
        </w:rPr>
        <w:t xml:space="preserve">(Basic, HRA, Medical, Conveyance) directly from an uploaded payslip</w:t>
      </w:r>
    </w:p>
    <w:p>
      <w:pPr>
        <w:tabs>
          <w:tab w:val="left" w:pos="420"/>
        </w:tabs>
        <w:spacing w:after="150" w:line="280"/>
      </w:pPr>
      <w:r>
        <w:rPr>
          <w:rFonts w:ascii="Calibri" w:cs="Calibri" w:eastAsia="Calibri" w:hAnsi="Calibri"/>
          <w:b/>
          <w:bCs/>
          <w:color w:val="AD6F17"/>
          <w:sz w:val="22"/>
          <w:szCs w:val="22"/>
        </w:rPr>
        <w:t xml:space="preserve">2. </w:t>
      </w:r>
      <w:r>
        <w:rPr>
          <w:rFonts w:ascii="Calibri" w:cs="Calibri" w:eastAsia="Calibri" w:hAnsi="Calibri"/>
          <w:b/>
          <w:bCs/>
          <w:color w:val="16224D"/>
          <w:sz w:val="22"/>
          <w:szCs w:val="22"/>
        </w:rPr>
        <w:t xml:space="preserve">Compute income &amp; eligibility  —  </w:t>
      </w:r>
      <w:r>
        <w:rPr>
          <w:rFonts w:ascii="Calibri" w:cs="Calibri" w:eastAsia="Calibri" w:hAnsi="Calibri"/>
          <w:color w:val="20293B"/>
          <w:sz w:val="21"/>
          <w:szCs w:val="21"/>
        </w:rPr>
        <w:t xml:space="preserve">automatically calculate gross &amp; net income and check loan eligibility against a defined threshold</w:t>
      </w:r>
    </w:p>
    <w:p>
      <w:pPr>
        <w:tabs>
          <w:tab w:val="left" w:pos="420"/>
        </w:tabs>
        <w:spacing w:after="150" w:line="280"/>
      </w:pPr>
      <w:r>
        <w:rPr>
          <w:rFonts w:ascii="Calibri" w:cs="Calibri" w:eastAsia="Calibri" w:hAnsi="Calibri"/>
          <w:b/>
          <w:bCs/>
          <w:color w:val="AD6F17"/>
          <w:sz w:val="22"/>
          <w:szCs w:val="22"/>
        </w:rPr>
        <w:t xml:space="preserve">3. </w:t>
      </w:r>
      <w:r>
        <w:rPr>
          <w:rFonts w:ascii="Calibri" w:cs="Calibri" w:eastAsia="Calibri" w:hAnsi="Calibri"/>
          <w:b/>
          <w:bCs/>
          <w:color w:val="16224D"/>
          <w:sz w:val="22"/>
          <w:szCs w:val="22"/>
        </w:rPr>
        <w:t xml:space="preserve">Extract bank transactions  —  </w:t>
      </w:r>
      <w:r>
        <w:rPr>
          <w:rFonts w:ascii="Calibri" w:cs="Calibri" w:eastAsia="Calibri" w:hAnsi="Calibri"/>
          <w:color w:val="20293B"/>
          <w:sz w:val="21"/>
          <w:szCs w:val="21"/>
        </w:rPr>
        <w:t xml:space="preserve">parse individual transactions from an uploaded bank statement</w:t>
      </w:r>
    </w:p>
    <w:p>
      <w:pPr>
        <w:tabs>
          <w:tab w:val="left" w:pos="420"/>
        </w:tabs>
        <w:spacing w:after="150" w:line="280"/>
      </w:pPr>
      <w:r>
        <w:rPr>
          <w:rFonts w:ascii="Calibri" w:cs="Calibri" w:eastAsia="Calibri" w:hAnsi="Calibri"/>
          <w:b/>
          <w:bCs/>
          <w:color w:val="AD6F17"/>
          <w:sz w:val="22"/>
          <w:szCs w:val="22"/>
        </w:rPr>
        <w:t xml:space="preserve">4. </w:t>
      </w:r>
      <w:r>
        <w:rPr>
          <w:rFonts w:ascii="Calibri" w:cs="Calibri" w:eastAsia="Calibri" w:hAnsi="Calibri"/>
          <w:b/>
          <w:bCs/>
          <w:color w:val="16224D"/>
          <w:sz w:val="22"/>
          <w:szCs w:val="22"/>
        </w:rPr>
        <w:t xml:space="preserve">Classify with BERT  —  </w:t>
      </w:r>
      <w:r>
        <w:rPr>
          <w:rFonts w:ascii="Calibri" w:cs="Calibri" w:eastAsia="Calibri" w:hAnsi="Calibri"/>
          <w:color w:val="20293B"/>
          <w:sz w:val="21"/>
          <w:szCs w:val="21"/>
        </w:rPr>
        <w:t xml:space="preserve">assign every transaction to a spending category using a BERT model</w:t>
      </w:r>
    </w:p>
    <w:p>
      <w:pPr>
        <w:tabs>
          <w:tab w:val="left" w:pos="420"/>
        </w:tabs>
        <w:spacing w:after="150" w:line="280"/>
      </w:pPr>
      <w:r>
        <w:rPr>
          <w:rFonts w:ascii="Calibri" w:cs="Calibri" w:eastAsia="Calibri" w:hAnsi="Calibri"/>
          <w:b/>
          <w:bCs/>
          <w:color w:val="AD6F17"/>
          <w:sz w:val="22"/>
          <w:szCs w:val="22"/>
        </w:rPr>
        <w:t xml:space="preserve">5. </w:t>
      </w:r>
      <w:r>
        <w:rPr>
          <w:rFonts w:ascii="Calibri" w:cs="Calibri" w:eastAsia="Calibri" w:hAnsi="Calibri"/>
          <w:b/>
          <w:bCs/>
          <w:color w:val="16224D"/>
          <w:sz w:val="22"/>
          <w:szCs w:val="22"/>
        </w:rPr>
        <w:t xml:space="preserve">Visualize results  —  </w:t>
      </w:r>
      <w:r>
        <w:rPr>
          <w:rFonts w:ascii="Calibri" w:cs="Calibri" w:eastAsia="Calibri" w:hAnsi="Calibri"/>
          <w:color w:val="20293B"/>
          <w:sz w:val="21"/>
          <w:szCs w:val="21"/>
        </w:rPr>
        <w:t xml:space="preserve">render salary structure and spending pattern as pie charts and bar plots</w:t>
      </w:r>
    </w:p>
    <w:p>
      <w:pPr>
        <w:tabs>
          <w:tab w:val="left" w:pos="420"/>
        </w:tabs>
        <w:spacing w:after="150" w:line="280"/>
      </w:pPr>
      <w:r>
        <w:rPr>
          <w:rFonts w:ascii="Calibri" w:cs="Calibri" w:eastAsia="Calibri" w:hAnsi="Calibri"/>
          <w:b/>
          <w:bCs/>
          <w:color w:val="AD6F17"/>
          <w:sz w:val="22"/>
          <w:szCs w:val="22"/>
        </w:rPr>
        <w:t xml:space="preserve">6. </w:t>
      </w:r>
      <w:r>
        <w:rPr>
          <w:rFonts w:ascii="Calibri" w:cs="Calibri" w:eastAsia="Calibri" w:hAnsi="Calibri"/>
          <w:b/>
          <w:bCs/>
          <w:color w:val="16224D"/>
          <w:sz w:val="22"/>
          <w:szCs w:val="22"/>
        </w:rPr>
        <w:t xml:space="preserve">Secure access  —  </w:t>
      </w:r>
      <w:r>
        <w:rPr>
          <w:rFonts w:ascii="Calibri" w:cs="Calibri" w:eastAsia="Calibri" w:hAnsi="Calibri"/>
          <w:color w:val="20293B"/>
          <w:sz w:val="21"/>
          <w:szCs w:val="21"/>
        </w:rPr>
        <w:t xml:space="preserve">provide a secure, login-protected dashboard for both tools</w:t>
      </w:r>
    </w:p>
    <w:p>
      <w:pPr>
        <w:spacing w:after="140" w:before="200"/>
      </w:pPr>
      <w:r>
        <w:rPr>
          <w:rFonts w:ascii="Cambria" w:cs="Cambria" w:eastAsia="Cambria" w:hAnsi="Cambria"/>
          <w:b/>
          <w:bCs/>
          <w:color w:val="16224D"/>
          <w:sz w:val="24"/>
          <w:szCs w:val="24"/>
        </w:rPr>
        <w:t xml:space="preserve">Key Advantages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c>
          <w:tcPr>
            <w:tcW w:type="dxa" w:w="4953"/>
            <w:tcBorders>
              <w:top w:val="single" w:color="FFFFFF" w:sz="4"/>
              <w:left w:val="single" w:color="FFFFFF" w:sz="4"/>
              <w:bottom w:val="single" w:color="FFFFFF" w:sz="4"/>
              <w:right w:val="single" w:color="FFFFFF" w:sz="4"/>
            </w:tcBorders>
            <w:shd w:fill="EEF2FA" w:val="clear"/>
            <w:tcMar>
              <w:top w:type="dxa" w:w="160"/>
              <w:left w:type="dxa" w:w="200"/>
              <w:bottom w:type="dxa" w:w="160"/>
              <w:right w:type="dxa" w:w="200"/>
            </w:tcMar>
          </w:tcPr>
          <w:p>
            <w:r>
              <w:rPr>
                <w:rFonts w:ascii="Calibri" w:cs="Calibri" w:eastAsia="Calibri" w:hAnsi="Calibri"/>
                <w:b/>
                <w:bCs/>
                <w:color w:val="16224D"/>
                <w:sz w:val="21"/>
                <w:szCs w:val="21"/>
              </w:rPr>
              <w:t xml:space="preserve">Saves Time</w:t>
            </w:r>
          </w:p>
          <w:p>
            <w:pPr>
              <w:spacing w:before="40"/>
            </w:pPr>
            <w:r>
              <w:rPr>
                <w:rFonts w:ascii="Calibri" w:cs="Calibri" w:eastAsia="Calibri" w:hAnsi="Calibri"/>
                <w:color w:val="5B6472"/>
                <w:sz w:val="18"/>
                <w:szCs w:val="18"/>
              </w:rPr>
              <w:t xml:space="preserve">Instant results instead of manual document review</w:t>
            </w:r>
          </w:p>
        </w:tc>
        <w:tc>
          <w:tcPr>
            <w:tcW w:type="dxa" w:w="4953"/>
            <w:tcBorders>
              <w:top w:val="single" w:color="FFFFFF" w:sz="4"/>
              <w:left w:val="single" w:color="FFFFFF" w:sz="4"/>
              <w:bottom w:val="single" w:color="FFFFFF" w:sz="4"/>
              <w:right w:val="single" w:color="FFFFFF" w:sz="4"/>
            </w:tcBorders>
            <w:shd w:fill="EEF2FA" w:val="clear"/>
            <w:tcMar>
              <w:top w:type="dxa" w:w="160"/>
              <w:left w:type="dxa" w:w="200"/>
              <w:bottom w:type="dxa" w:w="160"/>
              <w:right w:type="dxa" w:w="200"/>
            </w:tcMar>
          </w:tcPr>
          <w:p>
            <w:r>
              <w:rPr>
                <w:rFonts w:ascii="Calibri" w:cs="Calibri" w:eastAsia="Calibri" w:hAnsi="Calibri"/>
                <w:b/>
                <w:bCs/>
                <w:color w:val="16224D"/>
                <w:sz w:val="21"/>
                <w:szCs w:val="21"/>
              </w:rPr>
              <w:t xml:space="preserve">Reduces Errors</w:t>
            </w:r>
          </w:p>
          <w:p>
            <w:pPr>
              <w:spacing w:before="40"/>
            </w:pPr>
            <w:r>
              <w:rPr>
                <w:rFonts w:ascii="Calibri" w:cs="Calibri" w:eastAsia="Calibri" w:hAnsi="Calibri"/>
                <w:color w:val="5B6472"/>
                <w:sz w:val="18"/>
                <w:szCs w:val="18"/>
              </w:rPr>
              <w:t xml:space="preserve">Consistent, rule-based calculations every time</w:t>
            </w:r>
          </w:p>
        </w:tc>
      </w:tr>
      <w:tr>
        <w:tc>
          <w:tcPr>
            <w:tcW w:type="dxa" w:w="4953"/>
            <w:tcBorders>
              <w:top w:val="single" w:color="FFFFFF" w:sz="4"/>
              <w:left w:val="single" w:color="FFFFFF" w:sz="4"/>
              <w:bottom w:val="single" w:color="FFFFFF" w:sz="4"/>
              <w:right w:val="single" w:color="FFFFFF" w:sz="4"/>
            </w:tcBorders>
            <w:shd w:fill="EEF2FA" w:val="clear"/>
            <w:tcMar>
              <w:top w:type="dxa" w:w="160"/>
              <w:left w:type="dxa" w:w="200"/>
              <w:bottom w:type="dxa" w:w="160"/>
              <w:right w:type="dxa" w:w="200"/>
            </w:tcMar>
          </w:tcPr>
          <w:p>
            <w:r>
              <w:rPr>
                <w:rFonts w:ascii="Calibri" w:cs="Calibri" w:eastAsia="Calibri" w:hAnsi="Calibri"/>
                <w:b/>
                <w:bCs/>
                <w:color w:val="16224D"/>
                <w:sz w:val="21"/>
                <w:szCs w:val="21"/>
              </w:rPr>
              <w:t xml:space="preserve">Secure Login</w:t>
            </w:r>
          </w:p>
          <w:p>
            <w:pPr>
              <w:spacing w:before="40"/>
            </w:pPr>
            <w:r>
              <w:rPr>
                <w:rFonts w:ascii="Calibri" w:cs="Calibri" w:eastAsia="Calibri" w:hAnsi="Calibri"/>
                <w:color w:val="5B6472"/>
                <w:sz w:val="18"/>
                <w:szCs w:val="18"/>
              </w:rPr>
              <w:t xml:space="preserve">Dashboard access is protected behind authentication</w:t>
            </w:r>
          </w:p>
        </w:tc>
        <w:tc>
          <w:tcPr>
            <w:tcW w:type="dxa" w:w="4953"/>
            <w:tcBorders>
              <w:top w:val="single" w:color="FFFFFF" w:sz="4"/>
              <w:left w:val="single" w:color="FFFFFF" w:sz="4"/>
              <w:bottom w:val="single" w:color="FFFFFF" w:sz="4"/>
              <w:right w:val="single" w:color="FFFFFF" w:sz="4"/>
            </w:tcBorders>
            <w:shd w:fill="EEF2FA" w:val="clear"/>
            <w:tcMar>
              <w:top w:type="dxa" w:w="160"/>
              <w:left w:type="dxa" w:w="200"/>
              <w:bottom w:type="dxa" w:w="160"/>
              <w:right w:type="dxa" w:w="200"/>
            </w:tcMar>
          </w:tcPr>
          <w:p>
            <w:r>
              <w:rPr>
                <w:rFonts w:ascii="Calibri" w:cs="Calibri" w:eastAsia="Calibri" w:hAnsi="Calibri"/>
                <w:b/>
                <w:bCs/>
                <w:color w:val="16224D"/>
                <w:sz w:val="21"/>
                <w:szCs w:val="21"/>
              </w:rPr>
              <w:t xml:space="preserve">Automatic Categorization</w:t>
            </w:r>
          </w:p>
          <w:p>
            <w:pPr>
              <w:spacing w:before="40"/>
            </w:pPr>
            <w:r>
              <w:rPr>
                <w:rFonts w:ascii="Calibri" w:cs="Calibri" w:eastAsia="Calibri" w:hAnsi="Calibri"/>
                <w:color w:val="5B6472"/>
                <w:sz w:val="18"/>
                <w:szCs w:val="18"/>
              </w:rPr>
              <w:t xml:space="preserve">BERT classifies every transaction without manual tagging</w:t>
            </w:r>
          </w:p>
        </w:tc>
      </w:tr>
      <w:tr>
        <w:tc>
          <w:tcPr>
            <w:tcW w:type="dxa" w:w="4953"/>
            <w:tcBorders>
              <w:top w:val="single" w:color="FFFFFF" w:sz="4"/>
              <w:left w:val="single" w:color="FFFFFF" w:sz="4"/>
              <w:bottom w:val="single" w:color="FFFFFF" w:sz="4"/>
              <w:right w:val="single" w:color="FFFFFF" w:sz="4"/>
            </w:tcBorders>
            <w:shd w:fill="EEF2FA" w:val="clear"/>
            <w:tcMar>
              <w:top w:type="dxa" w:w="160"/>
              <w:left w:type="dxa" w:w="200"/>
              <w:bottom w:type="dxa" w:w="160"/>
              <w:right w:type="dxa" w:w="200"/>
            </w:tcMar>
          </w:tcPr>
          <w:p>
            <w:r>
              <w:rPr>
                <w:rFonts w:ascii="Calibri" w:cs="Calibri" w:eastAsia="Calibri" w:hAnsi="Calibri"/>
                <w:b/>
                <w:bCs/>
                <w:color w:val="16224D"/>
                <w:sz w:val="21"/>
                <w:szCs w:val="21"/>
              </w:rPr>
              <w:t xml:space="preserve">Instant Eligibility</w:t>
            </w:r>
          </w:p>
          <w:p>
            <w:pPr>
              <w:spacing w:before="40"/>
            </w:pPr>
            <w:r>
              <w:rPr>
                <w:rFonts w:ascii="Calibri" w:cs="Calibri" w:eastAsia="Calibri" w:hAnsi="Calibri"/>
                <w:color w:val="5B6472"/>
                <w:sz w:val="18"/>
                <w:szCs w:val="18"/>
              </w:rPr>
              <w:t xml:space="preserve">Immediate loan decision the moment a payslip is uploaded</w:t>
            </w:r>
          </w:p>
        </w:tc>
        <w:tc>
          <w:tcPr>
            <w:tcW w:type="dxa" w:w="4953"/>
            <w:tcBorders>
              <w:top w:val="single" w:color="FFFFFF" w:sz="4"/>
              <w:left w:val="single" w:color="FFFFFF" w:sz="4"/>
              <w:bottom w:val="single" w:color="FFFFFF" w:sz="4"/>
              <w:right w:val="single" w:color="FFFFFF" w:sz="4"/>
            </w:tcBorders>
            <w:shd w:fill="EEF2FA" w:val="clear"/>
            <w:tcMar>
              <w:top w:type="dxa" w:w="160"/>
              <w:left w:type="dxa" w:w="200"/>
              <w:bottom w:type="dxa" w:w="160"/>
              <w:right w:type="dxa" w:w="200"/>
            </w:tcMar>
          </w:tcPr>
          <w:p>
            <w:r>
              <w:rPr>
                <w:rFonts w:ascii="Calibri" w:cs="Calibri" w:eastAsia="Calibri" w:hAnsi="Calibri"/>
                <w:b/>
                <w:bCs/>
                <w:color w:val="16224D"/>
                <w:sz w:val="21"/>
                <w:szCs w:val="21"/>
              </w:rPr>
              <w:t xml:space="preserve">Clear Visual Insights</w:t>
            </w:r>
          </w:p>
          <w:p>
            <w:pPr>
              <w:spacing w:before="40"/>
            </w:pPr>
            <w:r>
              <w:rPr>
                <w:rFonts w:ascii="Calibri" w:cs="Calibri" w:eastAsia="Calibri" w:hAnsi="Calibri"/>
                <w:color w:val="5B6472"/>
                <w:sz w:val="18"/>
                <w:szCs w:val="18"/>
              </w:rPr>
              <w:t xml:space="preserve">Pie charts &amp; bar plots make the data easy to read at a glance</w:t>
            </w:r>
          </w:p>
        </w:tc>
      </w:tr>
    </w:tbl>
    <w:p>
      <w:pPr>
        <w:spacing w:after="100" w:line="300"/>
        <w:jc w:val="left"/>
      </w:pPr>
      <w:r>
        <w:rPr>
          <w:rFonts w:ascii="Calibri" w:cs="Calibri" w:eastAsia="Calibri" w:hAnsi="Calibri"/>
          <w:i w:val="false"/>
          <w:iCs w:val="false"/>
          <w:color w:val="20293B"/>
          <w:sz w:val="21"/>
          <w:szCs w:val="21"/>
        </w:rPr>
        <w:t xml:space="preserve">Taken together, these objectives and advantages guided every design decision in the project — from choosing a rule-based eligibility check over a black-box model (for transparency), to choosing BERT for categorization (for accuracy on free-text, inconsistently formatted transaction descriptions).</w:t>
      </w:r>
    </w:p>
    <w:p>
      <w:r>
        <w:br w:type="page"/>
      </w:r>
    </w:p>
    <w:p>
      <w:pPr>
        <w:spacing w:after="80"/>
      </w:pPr>
      <w:r>
        <w:rPr>
          <w:rFonts w:ascii="Calibri" w:cs="Calibri" w:eastAsia="Calibri" w:hAnsi="Calibri"/>
          <w:b/>
          <w:bCs/>
          <w:color w:val="AD6F17"/>
          <w:spacing w:val="20"/>
          <w:sz w:val="19"/>
          <w:szCs w:val="19"/>
        </w:rPr>
        <w:t xml:space="preserve">CHAPTER 3</w:t>
      </w:r>
    </w:p>
    <w:p>
      <w:pPr>
        <w:pBdr>
          <w:bottom w:val="single" w:color="D8DFEE" w:sz="6" w:space="8"/>
        </w:pBdr>
        <w:spacing w:after="260"/>
      </w:pPr>
      <w:r>
        <w:rPr>
          <w:rFonts w:ascii="Cambria" w:cs="Cambria" w:eastAsia="Cambria" w:hAnsi="Cambria"/>
          <w:b/>
          <w:bCs/>
          <w:color w:val="16224D"/>
          <w:sz w:val="34"/>
          <w:szCs w:val="34"/>
        </w:rPr>
        <w:t xml:space="preserve">System Architecture</w:t>
      </w:r>
    </w:p>
    <w:p>
      <w:pPr>
        <w:spacing w:after="240" w:line="300"/>
        <w:jc w:val="left"/>
      </w:pPr>
      <w:r>
        <w:rPr>
          <w:rFonts w:ascii="Calibri" w:cs="Calibri" w:eastAsia="Calibri" w:hAnsi="Calibri"/>
          <w:i w:val="false"/>
          <w:iCs w:val="false"/>
          <w:color w:val="20293B"/>
          <w:sz w:val="21"/>
          <w:szCs w:val="21"/>
        </w:rPr>
        <w:t xml:space="preserve">The application follows a straightforward, secure workflow: a user logs in, selects one of the two modules from the dashboard, and the corresponding pipeline takes over — from upload, through extraction and analysis, to a final visual result.</w:t>
      </w:r>
    </w:p>
    <w:tbl>
      <w:tblPr>
        <w:tblW w:type="dxa" w:w="594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FFFFFF" w:sz="4"/>
              <w:left w:val="single" w:color="FFFFFF" w:sz="4"/>
              <w:bottom w:val="single" w:color="FFFFFF" w:sz="4"/>
              <w:right w:val="single" w:color="FFFFFF" w:sz="4"/>
            </w:tcBorders>
            <w:shd w:fill="EEF2FA" w:val="clear"/>
            <w:tcMar>
              <w:top w:type="dxa" w:w="140"/>
              <w:left w:type="dxa" w:w="200"/>
              <w:bottom w:type="dxa" w:w="140"/>
              <w:right w:type="dxa" w:w="200"/>
            </w:tcMar>
          </w:tcPr>
          <w:p>
            <w:pPr>
              <w:jc w:val="center"/>
            </w:pPr>
            <w:r>
              <w:rPr>
                <w:rFonts w:ascii="Calibri" w:cs="Calibri" w:eastAsia="Calibri" w:hAnsi="Calibri"/>
                <w:b/>
                <w:bCs/>
                <w:color w:val="16224D"/>
                <w:sz w:val="19"/>
                <w:szCs w:val="19"/>
              </w:rPr>
              <w:t xml:space="preserve">User Login → Dashboard (Select Module)</w:t>
            </w:r>
          </w:p>
        </w:tc>
      </w:tr>
    </w:tbl>
    <w:p>
      <w:pPr>
        <w:spacing w:after="20" w:before="20"/>
        <w:jc w:val="center"/>
      </w:pPr>
      <w:r>
        <w:rPr>
          <w:rFonts w:ascii="Calibri" w:cs="Calibri" w:eastAsia="Calibri" w:hAnsi="Calibri"/>
          <w:color w:val="D8DFEE"/>
          <w:sz w:val="20"/>
          <w:szCs w:val="20"/>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c>
          <w:tcPr>
            <w:tcW w:type="dxa" w:w="4953"/>
            <w:tcBorders>
              <w:top w:val="none" w:color="FFFFFF" w:sz="0"/>
              <w:left w:val="none" w:color="FFFFFF" w:sz="0"/>
              <w:bottom w:val="none" w:color="FFFFFF" w:sz="0"/>
              <w:right w:val="none" w:color="FFFFFF" w:sz="0"/>
            </w:tcBorders>
            <w:tcMar>
              <w:top w:type="dxa" w:w="120"/>
              <w:bottom w:type="dxa" w:w="60"/>
            </w:tcMar>
          </w:tcPr>
          <w:p>
            <w:pPr>
              <w:jc w:val="center"/>
            </w:pPr>
            <w:r>
              <w:rPr>
                <w:rFonts w:ascii="Calibri" w:cs="Calibri" w:eastAsia="Calibri" w:hAnsi="Calibri"/>
                <w:b/>
                <w:bCs/>
                <w:color w:val="AD6F17"/>
                <w:spacing w:val="10"/>
                <w:sz w:val="17"/>
                <w:szCs w:val="17"/>
              </w:rPr>
              <w:t xml:space="preserve">MODULE 1 — PAYSLIP ANALYSIS</w:t>
            </w:r>
          </w:p>
        </w:tc>
        <w:tc>
          <w:tcPr>
            <w:tcW w:type="dxa" w:w="4953"/>
            <w:tcBorders>
              <w:top w:val="none" w:color="FFFFFF" w:sz="0"/>
              <w:left w:val="none" w:color="FFFFFF" w:sz="0"/>
              <w:bottom w:val="none" w:color="FFFFFF" w:sz="0"/>
              <w:right w:val="none" w:color="FFFFFF" w:sz="0"/>
            </w:tcBorders>
            <w:tcMar>
              <w:top w:type="dxa" w:w="120"/>
              <w:bottom w:type="dxa" w:w="60"/>
            </w:tcMar>
          </w:tcPr>
          <w:p>
            <w:pPr>
              <w:jc w:val="center"/>
            </w:pPr>
            <w:r>
              <w:rPr>
                <w:rFonts w:ascii="Calibri" w:cs="Calibri" w:eastAsia="Calibri" w:hAnsi="Calibri"/>
                <w:b/>
                <w:bCs/>
                <w:color w:val="AD6F17"/>
                <w:spacing w:val="10"/>
                <w:sz w:val="17"/>
                <w:szCs w:val="17"/>
              </w:rPr>
              <w:t xml:space="preserve">MODULE 2 — BANK STATEMENT ANALYSIS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c>
          <w:tcPr>
            <w:tcW w:type="dxa" w:w="4953"/>
            <w:tcBorders>
              <w:top w:val="single" w:color="FFFFFF" w:sz="4"/>
              <w:left w:val="single" w:color="FFFFFF" w:sz="4"/>
              <w:bottom w:val="single" w:color="FFFFFF" w:sz="4"/>
              <w:right w:val="single" w:color="FFFFFF" w:sz="4"/>
            </w:tcBorders>
            <w:shd w:fill="EEF2FA" w:val="clear"/>
            <w:tcMar>
              <w:top w:type="dxa" w:w="140"/>
              <w:left w:type="dxa" w:w="200"/>
              <w:bottom w:type="dxa" w:w="140"/>
              <w:right w:type="dxa" w:w="200"/>
            </w:tcMar>
          </w:tcPr>
          <w:p>
            <w:pPr>
              <w:jc w:val="center"/>
            </w:pPr>
            <w:r>
              <w:rPr>
                <w:rFonts w:ascii="Calibri" w:cs="Calibri" w:eastAsia="Calibri" w:hAnsi="Calibri"/>
                <w:b/>
                <w:bCs/>
                <w:color w:val="16224D"/>
                <w:sz w:val="19"/>
                <w:szCs w:val="19"/>
              </w:rPr>
              <w:t xml:space="preserve">Upload Payslip</w:t>
            </w:r>
          </w:p>
        </w:tc>
        <w:tc>
          <w:tcPr>
            <w:tcW w:type="dxa" w:w="4953"/>
            <w:tcBorders>
              <w:top w:val="single" w:color="FFFFFF" w:sz="4"/>
              <w:left w:val="single" w:color="FFFFFF" w:sz="4"/>
              <w:bottom w:val="single" w:color="FFFFFF" w:sz="4"/>
              <w:right w:val="single" w:color="FFFFFF" w:sz="4"/>
            </w:tcBorders>
            <w:shd w:fill="EEF2FA" w:val="clear"/>
            <w:tcMar>
              <w:top w:type="dxa" w:w="140"/>
              <w:left w:type="dxa" w:w="200"/>
              <w:bottom w:type="dxa" w:w="140"/>
              <w:right w:type="dxa" w:w="200"/>
            </w:tcMar>
          </w:tcPr>
          <w:p>
            <w:pPr>
              <w:jc w:val="center"/>
            </w:pPr>
            <w:r>
              <w:rPr>
                <w:rFonts w:ascii="Calibri" w:cs="Calibri" w:eastAsia="Calibri" w:hAnsi="Calibri"/>
                <w:b/>
                <w:bCs/>
                <w:color w:val="16224D"/>
                <w:sz w:val="19"/>
                <w:szCs w:val="19"/>
              </w:rPr>
              <w:t xml:space="preserve">Upload Bank Statement</w:t>
            </w:r>
          </w:p>
        </w:tc>
      </w:tr>
    </w:tbl>
    <w:p>
      <w:pPr>
        <w:tabs>
          <w:tab w:val="center" w:pos="2400"/>
          <w:tab w:val="center" w:pos="7200"/>
        </w:tabs>
        <w:spacing w:after="20" w:before="20"/>
      </w:pPr>
      <w:r>
        <w:rPr>
          <w:sz w:val="2"/>
          <w:szCs w:val="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c>
          <w:tcPr>
            <w:tcW w:type="dxa" w:w="4953"/>
            <w:tcBorders>
              <w:top w:val="single" w:color="FFFFFF" w:sz="4"/>
              <w:left w:val="single" w:color="FFFFFF" w:sz="4"/>
              <w:bottom w:val="single" w:color="FFFFFF" w:sz="4"/>
              <w:right w:val="single" w:color="FFFFFF" w:sz="4"/>
            </w:tcBorders>
            <w:shd w:fill="EEF2FA" w:val="clear"/>
            <w:tcMar>
              <w:top w:type="dxa" w:w="140"/>
              <w:left w:type="dxa" w:w="200"/>
              <w:bottom w:type="dxa" w:w="140"/>
              <w:right w:type="dxa" w:w="200"/>
            </w:tcMar>
          </w:tcPr>
          <w:p>
            <w:pPr>
              <w:jc w:val="center"/>
            </w:pPr>
            <w:r>
              <w:rPr>
                <w:rFonts w:ascii="Calibri" w:cs="Calibri" w:eastAsia="Calibri" w:hAnsi="Calibri"/>
                <w:b/>
                <w:bCs/>
                <w:color w:val="16224D"/>
                <w:sz w:val="19"/>
                <w:szCs w:val="19"/>
              </w:rPr>
              <w:t xml:space="preserve">OCR + Regex Extraction</w:t>
            </w:r>
          </w:p>
        </w:tc>
        <w:tc>
          <w:tcPr>
            <w:tcW w:type="dxa" w:w="4953"/>
            <w:tcBorders>
              <w:top w:val="single" w:color="FFFFFF" w:sz="4"/>
              <w:left w:val="single" w:color="FFFFFF" w:sz="4"/>
              <w:bottom w:val="single" w:color="FFFFFF" w:sz="4"/>
              <w:right w:val="single" w:color="FFFFFF" w:sz="4"/>
            </w:tcBorders>
            <w:shd w:fill="EEF2FA" w:val="clear"/>
            <w:tcMar>
              <w:top w:type="dxa" w:w="140"/>
              <w:left w:type="dxa" w:w="200"/>
              <w:bottom w:type="dxa" w:w="140"/>
              <w:right w:type="dxa" w:w="200"/>
            </w:tcMar>
          </w:tcPr>
          <w:p>
            <w:pPr>
              <w:jc w:val="center"/>
            </w:pPr>
            <w:r>
              <w:rPr>
                <w:rFonts w:ascii="Calibri" w:cs="Calibri" w:eastAsia="Calibri" w:hAnsi="Calibri"/>
                <w:b/>
                <w:bCs/>
                <w:color w:val="16224D"/>
                <w:sz w:val="19"/>
                <w:szCs w:val="19"/>
              </w:rPr>
              <w:t xml:space="preserve">Transaction Parsing</w:t>
            </w:r>
          </w:p>
        </w:tc>
      </w:tr>
    </w:tbl>
    <w:p>
      <w:pPr>
        <w:tabs>
          <w:tab w:val="center" w:pos="2400"/>
          <w:tab w:val="center" w:pos="7200"/>
        </w:tabs>
        <w:spacing w:after="20" w:before="20"/>
      </w:pPr>
      <w:r>
        <w:rPr>
          <w:sz w:val="2"/>
          <w:szCs w:val="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c>
          <w:tcPr>
            <w:tcW w:type="dxa" w:w="4953"/>
            <w:tcBorders>
              <w:top w:val="single" w:color="FFFFFF" w:sz="4"/>
              <w:left w:val="single" w:color="FFFFFF" w:sz="4"/>
              <w:bottom w:val="single" w:color="FFFFFF" w:sz="4"/>
              <w:right w:val="single" w:color="FFFFFF" w:sz="4"/>
            </w:tcBorders>
            <w:shd w:fill="EEF2FA" w:val="clear"/>
            <w:tcMar>
              <w:top w:type="dxa" w:w="140"/>
              <w:left w:type="dxa" w:w="200"/>
              <w:bottom w:type="dxa" w:w="140"/>
              <w:right w:type="dxa" w:w="200"/>
            </w:tcMar>
          </w:tcPr>
          <w:p>
            <w:pPr>
              <w:jc w:val="center"/>
            </w:pPr>
            <w:r>
              <w:rPr>
                <w:rFonts w:ascii="Calibri" w:cs="Calibri" w:eastAsia="Calibri" w:hAnsi="Calibri"/>
                <w:b/>
                <w:bCs/>
                <w:color w:val="16224D"/>
                <w:sz w:val="19"/>
                <w:szCs w:val="19"/>
              </w:rPr>
              <w:t xml:space="preserve">Eligibility Rule Engine</w:t>
            </w:r>
          </w:p>
        </w:tc>
        <w:tc>
          <w:tcPr>
            <w:tcW w:type="dxa" w:w="4953"/>
            <w:tcBorders>
              <w:top w:val="single" w:color="FFFFFF" w:sz="4"/>
              <w:left w:val="single" w:color="FFFFFF" w:sz="4"/>
              <w:bottom w:val="single" w:color="FFFFFF" w:sz="4"/>
              <w:right w:val="single" w:color="FFFFFF" w:sz="4"/>
            </w:tcBorders>
            <w:shd w:fill="EEF2FA" w:val="clear"/>
            <w:tcMar>
              <w:top w:type="dxa" w:w="140"/>
              <w:left w:type="dxa" w:w="200"/>
              <w:bottom w:type="dxa" w:w="140"/>
              <w:right w:type="dxa" w:w="200"/>
            </w:tcMar>
          </w:tcPr>
          <w:p>
            <w:pPr>
              <w:jc w:val="center"/>
            </w:pPr>
            <w:r>
              <w:rPr>
                <w:rFonts w:ascii="Calibri" w:cs="Calibri" w:eastAsia="Calibri" w:hAnsi="Calibri"/>
                <w:b/>
                <w:bCs/>
                <w:color w:val="16224D"/>
                <w:sz w:val="19"/>
                <w:szCs w:val="19"/>
              </w:rPr>
              <w:t xml:space="preserve">BERT Classification</w:t>
            </w:r>
          </w:p>
        </w:tc>
      </w:tr>
    </w:tbl>
    <w:p>
      <w:pPr>
        <w:tabs>
          <w:tab w:val="center" w:pos="2400"/>
          <w:tab w:val="center" w:pos="7200"/>
        </w:tabs>
        <w:spacing w:after="20" w:before="20"/>
      </w:pPr>
      <w:r>
        <w:rPr>
          <w:sz w:val="2"/>
          <w:szCs w:val="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c>
          <w:tcPr>
            <w:tcW w:type="dxa" w:w="4953"/>
            <w:tcBorders>
              <w:top w:val="single" w:color="FFFFFF" w:sz="4"/>
              <w:left w:val="single" w:color="FFFFFF" w:sz="4"/>
              <w:bottom w:val="single" w:color="FFFFFF" w:sz="4"/>
              <w:right w:val="single" w:color="FFFFFF" w:sz="4"/>
            </w:tcBorders>
            <w:shd w:fill="EFC080" w:val="clear"/>
            <w:tcMar>
              <w:top w:type="dxa" w:w="140"/>
              <w:left w:type="dxa" w:w="200"/>
              <w:bottom w:type="dxa" w:w="140"/>
              <w:right w:type="dxa" w:w="200"/>
            </w:tcMar>
          </w:tcPr>
          <w:p>
            <w:pPr>
              <w:jc w:val="center"/>
            </w:pPr>
            <w:r>
              <w:rPr>
                <w:rFonts w:ascii="Calibri" w:cs="Calibri" w:eastAsia="Calibri" w:hAnsi="Calibri"/>
                <w:b/>
                <w:bCs/>
                <w:color w:val="16224D"/>
                <w:sz w:val="19"/>
                <w:szCs w:val="19"/>
              </w:rPr>
              <w:t xml:space="preserve">Pie Chart + Verdict</w:t>
            </w:r>
          </w:p>
        </w:tc>
        <w:tc>
          <w:tcPr>
            <w:tcW w:type="dxa" w:w="4953"/>
            <w:tcBorders>
              <w:top w:val="single" w:color="FFFFFF" w:sz="4"/>
              <w:left w:val="single" w:color="FFFFFF" w:sz="4"/>
              <w:bottom w:val="single" w:color="FFFFFF" w:sz="4"/>
              <w:right w:val="single" w:color="FFFFFF" w:sz="4"/>
            </w:tcBorders>
            <w:shd w:fill="EFC080" w:val="clear"/>
            <w:tcMar>
              <w:top w:type="dxa" w:w="140"/>
              <w:left w:type="dxa" w:w="200"/>
              <w:bottom w:type="dxa" w:w="140"/>
              <w:right w:type="dxa" w:w="200"/>
            </w:tcMar>
          </w:tcPr>
          <w:p>
            <w:pPr>
              <w:jc w:val="center"/>
            </w:pPr>
            <w:r>
              <w:rPr>
                <w:rFonts w:ascii="Calibri" w:cs="Calibri" w:eastAsia="Calibri" w:hAnsi="Calibri"/>
                <w:b/>
                <w:bCs/>
                <w:color w:val="16224D"/>
                <w:sz w:val="19"/>
                <w:szCs w:val="19"/>
              </w:rPr>
              <w:t xml:space="preserve">Pie Chart + Bar Plot</w:t>
            </w:r>
          </w:p>
        </w:tc>
      </w:tr>
    </w:tbl>
    <w:p>
      <w:pPr>
        <w:spacing w:after="100" w:line="300"/>
        <w:jc w:val="left"/>
      </w:pPr>
      <w:r>
        <w:rPr>
          <w:rFonts w:ascii="Calibri" w:cs="Calibri" w:eastAsia="Calibri" w:hAnsi="Calibri"/>
          <w:i w:val="false"/>
          <w:iCs w:val="false"/>
          <w:color w:val="20293B"/>
          <w:sz w:val="21"/>
          <w:szCs w:val="21"/>
        </w:rPr>
        <w:t xml:space="preserve">Both pipelines share the same login and dashboard layer but run independently after that point — Module 1 relies on deterministic OCR and rule-based logic so its eligibility decision stays fully explainable, while Module 2 relies on a learned BERT classifier so it can generalize to transaction text it has never seen before. This separation keeps each module simple, testable, and easy to extend on its own.</w:t>
      </w:r>
    </w:p>
    <w:p>
      <w:r>
        <w:br w:type="page"/>
      </w:r>
    </w:p>
    <w:p>
      <w:pPr>
        <w:spacing w:after="80"/>
      </w:pPr>
      <w:r>
        <w:rPr>
          <w:rFonts w:ascii="Calibri" w:cs="Calibri" w:eastAsia="Calibri" w:hAnsi="Calibri"/>
          <w:b/>
          <w:bCs/>
          <w:color w:val="AD6F17"/>
          <w:spacing w:val="20"/>
          <w:sz w:val="19"/>
          <w:szCs w:val="19"/>
        </w:rPr>
        <w:t xml:space="preserve">CHAPTER 4</w:t>
      </w:r>
    </w:p>
    <w:p>
      <w:pPr>
        <w:pBdr>
          <w:bottom w:val="single" w:color="D8DFEE" w:sz="6" w:space="8"/>
        </w:pBdr>
        <w:spacing w:after="260"/>
      </w:pPr>
      <w:r>
        <w:rPr>
          <w:rFonts w:ascii="Cambria" w:cs="Cambria" w:eastAsia="Cambria" w:hAnsi="Cambria"/>
          <w:b/>
          <w:bCs/>
          <w:color w:val="16224D"/>
          <w:sz w:val="34"/>
          <w:szCs w:val="34"/>
        </w:rPr>
        <w:t xml:space="preserve">Technology Stack</w:t>
      </w:r>
    </w:p>
    <w:p>
      <w:pPr>
        <w:spacing w:after="220" w:line="300"/>
        <w:jc w:val="left"/>
      </w:pPr>
      <w:r>
        <w:rPr>
          <w:rFonts w:ascii="Calibri" w:cs="Calibri" w:eastAsia="Calibri" w:hAnsi="Calibri"/>
          <w:i w:val="false"/>
          <w:iCs w:val="false"/>
          <w:color w:val="20293B"/>
          <w:sz w:val="21"/>
          <w:szCs w:val="21"/>
        </w:rPr>
        <w:t xml:space="preserve">The application is built entirely on a modern Python-based stack, chosen for strong ecosystem support in both natural language processing and data visualization.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c>
          <w:tcPr>
            <w:tcW w:type="dxa" w:w="4953"/>
            <w:tcBorders>
              <w:top w:val="single" w:color="FFFFFF" w:sz="6"/>
              <w:left w:val="single" w:color="FFFFFF" w:sz="6"/>
              <w:bottom w:val="single" w:color="FFFFFF" w:sz="6"/>
              <w:right w:val="single" w:color="FFFFFF" w:sz="6"/>
            </w:tcBorders>
            <w:shd w:fill="16224D" w:val="clear"/>
            <w:tcMar>
              <w:top w:type="dxa" w:w="160"/>
              <w:left w:type="dxa" w:w="220"/>
              <w:bottom w:type="dxa" w:w="160"/>
              <w:right w:type="dxa" w:w="220"/>
            </w:tcMar>
          </w:tcPr>
          <w:p>
            <w:r>
              <w:rPr>
                <w:rFonts w:ascii="Calibri" w:cs="Calibri" w:eastAsia="Calibri" w:hAnsi="Calibri"/>
                <w:b/>
                <w:bCs/>
                <w:color w:val="EFC080"/>
                <w:sz w:val="20"/>
                <w:szCs w:val="20"/>
              </w:rPr>
              <w:t xml:space="preserve">Language</w:t>
            </w:r>
          </w:p>
          <w:p>
            <w:pPr>
              <w:spacing w:before="40"/>
            </w:pPr>
            <w:r>
              <w:rPr>
                <w:rFonts w:ascii="Calibri" w:cs="Calibri" w:eastAsia="Calibri" w:hAnsi="Calibri"/>
                <w:color w:val="FFFFFF"/>
                <w:sz w:val="19"/>
                <w:szCs w:val="19"/>
              </w:rPr>
              <w:t xml:space="preserve">Python 3</w:t>
            </w:r>
          </w:p>
        </w:tc>
        <w:tc>
          <w:tcPr>
            <w:tcW w:type="dxa" w:w="4953"/>
            <w:tcBorders>
              <w:top w:val="single" w:color="FFFFFF" w:sz="6"/>
              <w:left w:val="single" w:color="FFFFFF" w:sz="6"/>
              <w:bottom w:val="single" w:color="FFFFFF" w:sz="6"/>
              <w:right w:val="single" w:color="FFFFFF" w:sz="6"/>
            </w:tcBorders>
            <w:shd w:fill="16224D" w:val="clear"/>
            <w:tcMar>
              <w:top w:type="dxa" w:w="160"/>
              <w:left w:type="dxa" w:w="220"/>
              <w:bottom w:type="dxa" w:w="160"/>
              <w:right w:type="dxa" w:w="220"/>
            </w:tcMar>
          </w:tcPr>
          <w:p>
            <w:r>
              <w:rPr>
                <w:rFonts w:ascii="Calibri" w:cs="Calibri" w:eastAsia="Calibri" w:hAnsi="Calibri"/>
                <w:b/>
                <w:bCs/>
                <w:color w:val="EFC080"/>
                <w:sz w:val="20"/>
                <w:szCs w:val="20"/>
              </w:rPr>
              <w:t xml:space="preserve">Backend Framework</w:t>
            </w:r>
          </w:p>
          <w:p>
            <w:pPr>
              <w:spacing w:before="40"/>
            </w:pPr>
            <w:r>
              <w:rPr>
                <w:rFonts w:ascii="Calibri" w:cs="Calibri" w:eastAsia="Calibri" w:hAnsi="Calibri"/>
                <w:color w:val="FFFFFF"/>
                <w:sz w:val="19"/>
                <w:szCs w:val="19"/>
              </w:rPr>
              <w:t xml:space="preserve">Flask</w:t>
            </w:r>
          </w:p>
        </w:tc>
      </w:tr>
      <w:tr>
        <w:tc>
          <w:tcPr>
            <w:tcW w:type="dxa" w:w="4953"/>
            <w:tcBorders>
              <w:top w:val="single" w:color="FFFFFF" w:sz="6"/>
              <w:left w:val="single" w:color="FFFFFF" w:sz="6"/>
              <w:bottom w:val="single" w:color="FFFFFF" w:sz="6"/>
              <w:right w:val="single" w:color="FFFFFF" w:sz="6"/>
            </w:tcBorders>
            <w:shd w:fill="16224D" w:val="clear"/>
            <w:tcMar>
              <w:top w:type="dxa" w:w="160"/>
              <w:left w:type="dxa" w:w="220"/>
              <w:bottom w:type="dxa" w:w="160"/>
              <w:right w:type="dxa" w:w="220"/>
            </w:tcMar>
          </w:tcPr>
          <w:p>
            <w:r>
              <w:rPr>
                <w:rFonts w:ascii="Calibri" w:cs="Calibri" w:eastAsia="Calibri" w:hAnsi="Calibri"/>
                <w:b/>
                <w:bCs/>
                <w:color w:val="EFC080"/>
                <w:sz w:val="20"/>
                <w:szCs w:val="20"/>
              </w:rPr>
              <w:t xml:space="preserve">Frontend</w:t>
            </w:r>
          </w:p>
          <w:p>
            <w:pPr>
              <w:spacing w:before="40"/>
            </w:pPr>
            <w:r>
              <w:rPr>
                <w:rFonts w:ascii="Calibri" w:cs="Calibri" w:eastAsia="Calibri" w:hAnsi="Calibri"/>
                <w:color w:val="FFFFFF"/>
                <w:sz w:val="19"/>
                <w:szCs w:val="19"/>
              </w:rPr>
              <w:t xml:space="preserve">HTML5, CSS3, JavaScript</w:t>
            </w:r>
          </w:p>
        </w:tc>
        <w:tc>
          <w:tcPr>
            <w:tcW w:type="dxa" w:w="4953"/>
            <w:tcBorders>
              <w:top w:val="single" w:color="FFFFFF" w:sz="6"/>
              <w:left w:val="single" w:color="FFFFFF" w:sz="6"/>
              <w:bottom w:val="single" w:color="FFFFFF" w:sz="6"/>
              <w:right w:val="single" w:color="FFFFFF" w:sz="6"/>
            </w:tcBorders>
            <w:shd w:fill="16224D" w:val="clear"/>
            <w:tcMar>
              <w:top w:type="dxa" w:w="160"/>
              <w:left w:type="dxa" w:w="220"/>
              <w:bottom w:type="dxa" w:w="160"/>
              <w:right w:type="dxa" w:w="220"/>
            </w:tcMar>
          </w:tcPr>
          <w:p>
            <w:r>
              <w:rPr>
                <w:rFonts w:ascii="Calibri" w:cs="Calibri" w:eastAsia="Calibri" w:hAnsi="Calibri"/>
                <w:b/>
                <w:bCs/>
                <w:color w:val="EFC080"/>
                <w:sz w:val="20"/>
                <w:szCs w:val="20"/>
              </w:rPr>
              <w:t xml:space="preserve">ML Model</w:t>
            </w:r>
          </w:p>
          <w:p>
            <w:pPr>
              <w:spacing w:before="40"/>
            </w:pPr>
            <w:r>
              <w:rPr>
                <w:rFonts w:ascii="Calibri" w:cs="Calibri" w:eastAsia="Calibri" w:hAnsi="Calibri"/>
                <w:color w:val="FFFFFF"/>
                <w:sz w:val="19"/>
                <w:szCs w:val="19"/>
              </w:rPr>
              <w:t xml:space="preserve">BERT (Transformers, PyTorch)</w:t>
            </w:r>
          </w:p>
        </w:tc>
      </w:tr>
      <w:tr>
        <w:tc>
          <w:tcPr>
            <w:tcW w:type="dxa" w:w="4953"/>
            <w:tcBorders>
              <w:top w:val="single" w:color="FFFFFF" w:sz="6"/>
              <w:left w:val="single" w:color="FFFFFF" w:sz="6"/>
              <w:bottom w:val="single" w:color="FFFFFF" w:sz="6"/>
              <w:right w:val="single" w:color="FFFFFF" w:sz="6"/>
            </w:tcBorders>
            <w:shd w:fill="16224D" w:val="clear"/>
            <w:tcMar>
              <w:top w:type="dxa" w:w="160"/>
              <w:left w:type="dxa" w:w="220"/>
              <w:bottom w:type="dxa" w:w="160"/>
              <w:right w:type="dxa" w:w="220"/>
            </w:tcMar>
          </w:tcPr>
          <w:p>
            <w:r>
              <w:rPr>
                <w:rFonts w:ascii="Calibri" w:cs="Calibri" w:eastAsia="Calibri" w:hAnsi="Calibri"/>
                <w:b/>
                <w:bCs/>
                <w:color w:val="EFC080"/>
                <w:sz w:val="20"/>
                <w:szCs w:val="20"/>
              </w:rPr>
              <w:t xml:space="preserve">OCR / Parsing</w:t>
            </w:r>
          </w:p>
          <w:p>
            <w:pPr>
              <w:spacing w:before="40"/>
            </w:pPr>
            <w:r>
              <w:rPr>
                <w:rFonts w:ascii="Calibri" w:cs="Calibri" w:eastAsia="Calibri" w:hAnsi="Calibri"/>
                <w:color w:val="FFFFFF"/>
                <w:sz w:val="19"/>
                <w:szCs w:val="19"/>
              </w:rPr>
              <w:t xml:space="preserve">Tesseract OCR, pdfplumber, Regex</w:t>
            </w:r>
          </w:p>
        </w:tc>
        <w:tc>
          <w:tcPr>
            <w:tcW w:type="dxa" w:w="4953"/>
            <w:tcBorders>
              <w:top w:val="single" w:color="FFFFFF" w:sz="6"/>
              <w:left w:val="single" w:color="FFFFFF" w:sz="6"/>
              <w:bottom w:val="single" w:color="FFFFFF" w:sz="6"/>
              <w:right w:val="single" w:color="FFFFFF" w:sz="6"/>
            </w:tcBorders>
            <w:shd w:fill="16224D" w:val="clear"/>
            <w:tcMar>
              <w:top w:type="dxa" w:w="160"/>
              <w:left w:type="dxa" w:w="220"/>
              <w:bottom w:type="dxa" w:w="160"/>
              <w:right w:type="dxa" w:w="220"/>
            </w:tcMar>
          </w:tcPr>
          <w:p>
            <w:r>
              <w:rPr>
                <w:rFonts w:ascii="Calibri" w:cs="Calibri" w:eastAsia="Calibri" w:hAnsi="Calibri"/>
                <w:b/>
                <w:bCs/>
                <w:color w:val="EFC080"/>
                <w:sz w:val="20"/>
                <w:szCs w:val="20"/>
              </w:rPr>
              <w:t xml:space="preserve">Data Processing</w:t>
            </w:r>
          </w:p>
          <w:p>
            <w:pPr>
              <w:spacing w:before="40"/>
            </w:pPr>
            <w:r>
              <w:rPr>
                <w:rFonts w:ascii="Calibri" w:cs="Calibri" w:eastAsia="Calibri" w:hAnsi="Calibri"/>
                <w:color w:val="FFFFFF"/>
                <w:sz w:val="19"/>
                <w:szCs w:val="19"/>
              </w:rPr>
              <w:t xml:space="preserve">Pandas, NumPy</w:t>
            </w:r>
          </w:p>
        </w:tc>
      </w:tr>
      <w:tr>
        <w:tc>
          <w:tcPr>
            <w:tcW w:type="dxa" w:w="4953"/>
            <w:tcBorders>
              <w:top w:val="single" w:color="FFFFFF" w:sz="6"/>
              <w:left w:val="single" w:color="FFFFFF" w:sz="6"/>
              <w:bottom w:val="single" w:color="FFFFFF" w:sz="6"/>
              <w:right w:val="single" w:color="FFFFFF" w:sz="6"/>
            </w:tcBorders>
            <w:shd w:fill="16224D" w:val="clear"/>
            <w:tcMar>
              <w:top w:type="dxa" w:w="160"/>
              <w:left w:type="dxa" w:w="220"/>
              <w:bottom w:type="dxa" w:w="160"/>
              <w:right w:type="dxa" w:w="220"/>
            </w:tcMar>
          </w:tcPr>
          <w:p>
            <w:r>
              <w:rPr>
                <w:rFonts w:ascii="Calibri" w:cs="Calibri" w:eastAsia="Calibri" w:hAnsi="Calibri"/>
                <w:b/>
                <w:bCs/>
                <w:color w:val="EFC080"/>
                <w:sz w:val="20"/>
                <w:szCs w:val="20"/>
              </w:rPr>
              <w:t xml:space="preserve">Visualization</w:t>
            </w:r>
          </w:p>
          <w:p>
            <w:pPr>
              <w:spacing w:before="40"/>
            </w:pPr>
            <w:r>
              <w:rPr>
                <w:rFonts w:ascii="Calibri" w:cs="Calibri" w:eastAsia="Calibri" w:hAnsi="Calibri"/>
                <w:color w:val="FFFFFF"/>
                <w:sz w:val="19"/>
                <w:szCs w:val="19"/>
              </w:rPr>
              <w:t xml:space="preserve">Matplotlib</w:t>
            </w:r>
          </w:p>
        </w:tc>
        <w:tc>
          <w:tcPr>
            <w:tcW w:type="dxa" w:w="4953"/>
            <w:tcBorders>
              <w:top w:val="single" w:color="FFFFFF" w:sz="6"/>
              <w:left w:val="single" w:color="FFFFFF" w:sz="6"/>
              <w:bottom w:val="single" w:color="FFFFFF" w:sz="6"/>
              <w:right w:val="single" w:color="FFFFFF" w:sz="6"/>
            </w:tcBorders>
            <w:shd w:fill="16224D" w:val="clear"/>
            <w:tcMar>
              <w:top w:type="dxa" w:w="160"/>
              <w:left w:type="dxa" w:w="220"/>
              <w:bottom w:type="dxa" w:w="160"/>
              <w:right w:type="dxa" w:w="220"/>
            </w:tcMar>
          </w:tcPr>
          <w:p>
            <w:r>
              <w:rPr>
                <w:rFonts w:ascii="Calibri" w:cs="Calibri" w:eastAsia="Calibri" w:hAnsi="Calibri"/>
                <w:b/>
                <w:bCs/>
                <w:color w:val="EFC080"/>
                <w:sz w:val="20"/>
                <w:szCs w:val="20"/>
              </w:rPr>
              <w:t xml:space="preserve">Auth &amp; Storage</w:t>
            </w:r>
          </w:p>
          <w:p>
            <w:pPr>
              <w:spacing w:before="40"/>
            </w:pPr>
            <w:r>
              <w:rPr>
                <w:rFonts w:ascii="Calibri" w:cs="Calibri" w:eastAsia="Calibri" w:hAnsi="Calibri"/>
                <w:color w:val="FFFFFF"/>
                <w:sz w:val="19"/>
                <w:szCs w:val="19"/>
              </w:rPr>
              <w:t xml:space="preserve">Session-based Login, SQLite</w:t>
            </w:r>
          </w:p>
        </w:tc>
      </w:tr>
    </w:tbl>
    <w:p>
      <w:pPr>
        <w:spacing w:after="100" w:line="300"/>
        <w:jc w:val="left"/>
      </w:pPr>
      <w:r>
        <w:rPr>
          <w:rFonts w:ascii="Calibri" w:cs="Calibri" w:eastAsia="Calibri" w:hAnsi="Calibri"/>
          <w:i w:val="false"/>
          <w:iCs w:val="false"/>
          <w:color w:val="20293B"/>
          <w:sz w:val="21"/>
          <w:szCs w:val="21"/>
        </w:rPr>
        <w:t xml:space="preserve">Flask was chosen over a heavier framework for its minimal footprint and quick routing between the login, dashboard and module pages, while Tesseract and pdfplumber together give reliable text extraction from both scanned images and native PDF payslips. Pandas and NumPy handle all tabular computation, and every chart in the application is rendered server-side with Matplotlib before being returned to the browser.</w:t>
      </w:r>
    </w:p>
    <w:p>
      <w:r>
        <w:br w:type="page"/>
      </w:r>
    </w:p>
    <w:p>
      <w:pPr>
        <w:spacing w:after="80"/>
      </w:pPr>
      <w:r>
        <w:rPr>
          <w:rFonts w:ascii="Calibri" w:cs="Calibri" w:eastAsia="Calibri" w:hAnsi="Calibri"/>
          <w:b/>
          <w:bCs/>
          <w:color w:val="AD6F17"/>
          <w:spacing w:val="20"/>
          <w:sz w:val="19"/>
          <w:szCs w:val="19"/>
        </w:rPr>
        <w:t xml:space="preserve">CHAPTER 5 · MODULE 01</w:t>
      </w:r>
    </w:p>
    <w:p>
      <w:pPr>
        <w:pBdr>
          <w:bottom w:val="single" w:color="D8DFEE" w:sz="6" w:space="8"/>
        </w:pBdr>
        <w:spacing w:after="260"/>
      </w:pPr>
      <w:r>
        <w:rPr>
          <w:rFonts w:ascii="Cambria" w:cs="Cambria" w:eastAsia="Cambria" w:hAnsi="Cambria"/>
          <w:b/>
          <w:bCs/>
          <w:color w:val="16224D"/>
          <w:sz w:val="34"/>
          <w:szCs w:val="34"/>
        </w:rPr>
        <w:t xml:space="preserve">Payslip Analysis &amp; Loan Eligibility</w:t>
      </w:r>
    </w:p>
    <w:p>
      <w:pPr>
        <w:spacing w:after="220" w:line="300"/>
        <w:jc w:val="left"/>
      </w:pPr>
      <w:r>
        <w:rPr>
          <w:rFonts w:ascii="Calibri" w:cs="Calibri" w:eastAsia="Calibri" w:hAnsi="Calibri"/>
          <w:i w:val="false"/>
          <w:iCs w:val="false"/>
          <w:color w:val="20293B"/>
          <w:sz w:val="21"/>
          <w:szCs w:val="21"/>
        </w:rPr>
        <w:t xml:space="preserve">This module allows a user to upload a payslip and receive an instant loan-eligibility decision, backed by a transparent view of every detected salary component.</w:t>
      </w:r>
    </w:p>
    <w:p>
      <w:pPr>
        <w:tabs>
          <w:tab w:val="left" w:pos="420"/>
        </w:tabs>
        <w:spacing w:after="150" w:line="280"/>
      </w:pPr>
      <w:r>
        <w:rPr>
          <w:rFonts w:ascii="Calibri" w:cs="Calibri" w:eastAsia="Calibri" w:hAnsi="Calibri"/>
          <w:b/>
          <w:bCs/>
          <w:color w:val="AD6F17"/>
          <w:sz w:val="22"/>
          <w:szCs w:val="22"/>
        </w:rPr>
        <w:t xml:space="preserve">1. </w:t>
      </w:r>
      <w:r>
        <w:rPr>
          <w:rFonts w:ascii="Calibri" w:cs="Calibri" w:eastAsia="Calibri" w:hAnsi="Calibri"/>
          <w:b/>
          <w:bCs/>
          <w:color w:val="16224D"/>
          <w:sz w:val="22"/>
          <w:szCs w:val="22"/>
        </w:rPr>
        <w:t xml:space="preserve">Upload  —  </w:t>
      </w:r>
      <w:r>
        <w:rPr>
          <w:rFonts w:ascii="Calibri" w:cs="Calibri" w:eastAsia="Calibri" w:hAnsi="Calibri"/>
          <w:color w:val="20293B"/>
          <w:sz w:val="21"/>
          <w:szCs w:val="21"/>
        </w:rPr>
        <w:t xml:space="preserve">User uploads a payslip in PDF, JPG or PNG format</w:t>
      </w:r>
    </w:p>
    <w:p>
      <w:pPr>
        <w:tabs>
          <w:tab w:val="left" w:pos="420"/>
        </w:tabs>
        <w:spacing w:after="150" w:line="280"/>
      </w:pPr>
      <w:r>
        <w:rPr>
          <w:rFonts w:ascii="Calibri" w:cs="Calibri" w:eastAsia="Calibri" w:hAnsi="Calibri"/>
          <w:b/>
          <w:bCs/>
          <w:color w:val="AD6F17"/>
          <w:sz w:val="22"/>
          <w:szCs w:val="22"/>
        </w:rPr>
        <w:t xml:space="preserve">2. </w:t>
      </w:r>
      <w:r>
        <w:rPr>
          <w:rFonts w:ascii="Calibri" w:cs="Calibri" w:eastAsia="Calibri" w:hAnsi="Calibri"/>
          <w:b/>
          <w:bCs/>
          <w:color w:val="16224D"/>
          <w:sz w:val="22"/>
          <w:szCs w:val="22"/>
        </w:rPr>
        <w:t xml:space="preserve">Extract  —  </w:t>
      </w:r>
      <w:r>
        <w:rPr>
          <w:rFonts w:ascii="Calibri" w:cs="Calibri" w:eastAsia="Calibri" w:hAnsi="Calibri"/>
          <w:color w:val="20293B"/>
          <w:sz w:val="21"/>
          <w:szCs w:val="21"/>
        </w:rPr>
        <w:t xml:space="preserve">OCR + regex parsing detects Basic, HRA, Medical, Conveyance &amp; Other components</w:t>
      </w:r>
    </w:p>
    <w:p>
      <w:pPr>
        <w:tabs>
          <w:tab w:val="left" w:pos="420"/>
        </w:tabs>
        <w:spacing w:after="150" w:line="280"/>
      </w:pPr>
      <w:r>
        <w:rPr>
          <w:rFonts w:ascii="Calibri" w:cs="Calibri" w:eastAsia="Calibri" w:hAnsi="Calibri"/>
          <w:b/>
          <w:bCs/>
          <w:color w:val="AD6F17"/>
          <w:sz w:val="22"/>
          <w:szCs w:val="22"/>
        </w:rPr>
        <w:t xml:space="preserve">3. </w:t>
      </w:r>
      <w:r>
        <w:rPr>
          <w:rFonts w:ascii="Calibri" w:cs="Calibri" w:eastAsia="Calibri" w:hAnsi="Calibri"/>
          <w:b/>
          <w:bCs/>
          <w:color w:val="16224D"/>
          <w:sz w:val="22"/>
          <w:szCs w:val="22"/>
        </w:rPr>
        <w:t xml:space="preserve">Compute  —  </w:t>
      </w:r>
      <w:r>
        <w:rPr>
          <w:rFonts w:ascii="Calibri" w:cs="Calibri" w:eastAsia="Calibri" w:hAnsi="Calibri"/>
          <w:color w:val="20293B"/>
          <w:sz w:val="21"/>
          <w:szCs w:val="21"/>
        </w:rPr>
        <w:t xml:space="preserve">System calculates Gross and Net monthly income from the detected components</w:t>
      </w:r>
    </w:p>
    <w:p>
      <w:pPr>
        <w:tabs>
          <w:tab w:val="left" w:pos="420"/>
        </w:tabs>
        <w:spacing w:after="150" w:line="280"/>
      </w:pPr>
      <w:r>
        <w:rPr>
          <w:rFonts w:ascii="Calibri" w:cs="Calibri" w:eastAsia="Calibri" w:hAnsi="Calibri"/>
          <w:b/>
          <w:bCs/>
          <w:color w:val="AD6F17"/>
          <w:sz w:val="22"/>
          <w:szCs w:val="22"/>
        </w:rPr>
        <w:t xml:space="preserve">4. </w:t>
      </w:r>
      <w:r>
        <w:rPr>
          <w:rFonts w:ascii="Calibri" w:cs="Calibri" w:eastAsia="Calibri" w:hAnsi="Calibri"/>
          <w:b/>
          <w:bCs/>
          <w:color w:val="16224D"/>
          <w:sz w:val="22"/>
          <w:szCs w:val="22"/>
        </w:rPr>
        <w:t xml:space="preserve">Decide  —  </w:t>
      </w:r>
      <w:r>
        <w:rPr>
          <w:rFonts w:ascii="Calibri" w:cs="Calibri" w:eastAsia="Calibri" w:hAnsi="Calibri"/>
          <w:color w:val="20293B"/>
          <w:sz w:val="21"/>
          <w:szCs w:val="21"/>
        </w:rPr>
        <w:t xml:space="preserve">Net income is checked against the eligibility threshold to approve or reject the loan</w:t>
      </w:r>
    </w:p>
    <w:p>
      <w:pPr>
        <w:tabs>
          <w:tab w:val="left" w:pos="420"/>
        </w:tabs>
        <w:spacing w:after="150" w:line="280"/>
      </w:pPr>
      <w:r>
        <w:rPr>
          <w:rFonts w:ascii="Calibri" w:cs="Calibri" w:eastAsia="Calibri" w:hAnsi="Calibri"/>
          <w:b/>
          <w:bCs/>
          <w:color w:val="AD6F17"/>
          <w:sz w:val="22"/>
          <w:szCs w:val="22"/>
        </w:rPr>
        <w:t xml:space="preserve">5. </w:t>
      </w:r>
      <w:r>
        <w:rPr>
          <w:rFonts w:ascii="Calibri" w:cs="Calibri" w:eastAsia="Calibri" w:hAnsi="Calibri"/>
          <w:b/>
          <w:bCs/>
          <w:color w:val="16224D"/>
          <w:sz w:val="22"/>
          <w:szCs w:val="22"/>
        </w:rPr>
        <w:t xml:space="preserve">Visualize  —  </w:t>
      </w:r>
      <w:r>
        <w:rPr>
          <w:rFonts w:ascii="Calibri" w:cs="Calibri" w:eastAsia="Calibri" w:hAnsi="Calibri"/>
          <w:color w:val="20293B"/>
          <w:sz w:val="21"/>
          <w:szCs w:val="21"/>
        </w:rPr>
        <w:t xml:space="preserve">Salary structure is rendered as an interactive pie chart</w:t>
      </w:r>
    </w:p>
    <w:tbl>
      <w:tblPr>
        <w:tblW w:type="dxa" w:w="9906"/>
        <w:tblBorders>
          <w:top w:val="single" w:color="EFC080" w:sz="8"/>
          <w:left w:val="single" w:color="EFC080" w:sz="8"/>
          <w:bottom w:val="single" w:color="EFC080" w:sz="8"/>
          <w:right w:val="single" w:color="EFC080" w:sz="8"/>
          <w:insideH w:val="single" w:color="auto" w:sz="4"/>
          <w:insideV w:val="single" w:color="auto" w:sz="4"/>
        </w:tblBorders>
      </w:tblPr>
      <w:tblGrid>
        <w:gridCol w:w="100"/>
      </w:tblGrid>
      <w:tr>
        <w:tc>
          <w:tcPr>
            <w:shd w:fill="FBF0DF" w:val="clear"/>
            <w:tcMar>
              <w:top w:type="dxa" w:w="200"/>
              <w:left w:type="dxa" w:w="260"/>
              <w:bottom w:type="dxa" w:w="200"/>
              <w:right w:type="dxa" w:w="260"/>
            </w:tcMar>
          </w:tcPr>
          <w:p>
            <w:r>
              <w:rPr>
                <w:rFonts w:ascii="Calibri" w:cs="Calibri" w:eastAsia="Calibri" w:hAnsi="Calibri"/>
                <w:b/>
                <w:bCs/>
                <w:color w:val="AD6F17"/>
                <w:sz w:val="21"/>
                <w:szCs w:val="21"/>
              </w:rPr>
              <w:t xml:space="preserve">Eligibility Rule</w:t>
            </w:r>
          </w:p>
          <w:p>
            <w:pPr>
              <w:spacing w:before="80"/>
            </w:pPr>
            <w:r>
              <w:rPr>
                <w:rFonts w:ascii="Cambria" w:cs="Cambria" w:eastAsia="Cambria" w:hAnsi="Cambria"/>
                <w:b/>
                <w:bCs/>
                <w:color w:val="16224D"/>
                <w:sz w:val="34"/>
                <w:szCs w:val="34"/>
              </w:rPr>
              <w:t xml:space="preserve">₹ 20,000 </w:t>
            </w:r>
            <w:r>
              <w:rPr>
                <w:rFonts w:ascii="Calibri" w:cs="Calibri" w:eastAsia="Calibri" w:hAnsi="Calibri"/>
                <w:i/>
                <w:iCs/>
                <w:color w:val="20293B"/>
                <w:sz w:val="19"/>
                <w:szCs w:val="19"/>
              </w:rPr>
              <w:t xml:space="preserve"> minimum net monthly income required for loan eligibility</w:t>
            </w:r>
          </w:p>
          <w:p>
            <w:pPr>
              <w:spacing w:before="120"/>
            </w:pPr>
            <w:r>
              <w:rPr>
                <w:rFonts w:ascii="Calibri" w:cs="Calibri" w:eastAsia="Calibri" w:hAnsi="Calibri"/>
                <w:b/>
                <w:bCs/>
                <w:color w:val="16224D"/>
                <w:sz w:val="18"/>
                <w:szCs w:val="18"/>
              </w:rPr>
              <w:t xml:space="preserve">Components detected: </w:t>
            </w:r>
            <w:r>
              <w:rPr>
                <w:rFonts w:ascii="Calibri" w:cs="Calibri" w:eastAsia="Calibri" w:hAnsi="Calibri"/>
                <w:color w:val="5B6472"/>
                <w:sz w:val="18"/>
                <w:szCs w:val="18"/>
              </w:rPr>
              <w:t xml:space="preserve">Basic • HRA • Medical • Conveyance • Other • Gross • Net</w:t>
            </w:r>
          </w:p>
        </w:tc>
      </w:tr>
    </w:tbl>
    <w:p>
      <w:pPr>
        <w:spacing w:after="100" w:line="300"/>
        <w:jc w:val="left"/>
      </w:pPr>
      <w:r>
        <w:rPr>
          <w:rFonts w:ascii="Calibri" w:cs="Calibri" w:eastAsia="Calibri" w:hAnsi="Calibri"/>
          <w:i w:val="false"/>
          <w:iCs w:val="false"/>
          <w:color w:val="20293B"/>
          <w:sz w:val="21"/>
          <w:szCs w:val="21"/>
        </w:rPr>
        <w:t xml:space="preserve">The ₹ 20,000 threshold was deliberately kept as a single, transparent, easily-adjustable rule rather than a trained model — which means every eligibility decision the system produces can be explained in one sentence, and the threshold itself can be tuned by a bank or lender without retraining anything.</w:t>
      </w:r>
    </w:p>
    <w:p>
      <w:r>
        <w:br w:type="page"/>
      </w:r>
    </w:p>
    <w:p>
      <w:pPr>
        <w:spacing w:after="80"/>
      </w:pPr>
      <w:r>
        <w:rPr>
          <w:rFonts w:ascii="Calibri" w:cs="Calibri" w:eastAsia="Calibri" w:hAnsi="Calibri"/>
          <w:b/>
          <w:bCs/>
          <w:color w:val="AD6F17"/>
          <w:spacing w:val="20"/>
          <w:sz w:val="19"/>
          <w:szCs w:val="19"/>
        </w:rPr>
        <w:t xml:space="preserve">CHAPTER 5.1</w:t>
      </w:r>
    </w:p>
    <w:p>
      <w:pPr>
        <w:pBdr>
          <w:bottom w:val="single" w:color="D8DFEE" w:sz="6" w:space="8"/>
        </w:pBdr>
        <w:spacing w:after="260"/>
      </w:pPr>
      <w:r>
        <w:rPr>
          <w:rFonts w:ascii="Cambria" w:cs="Cambria" w:eastAsia="Cambria" w:hAnsi="Cambria"/>
          <w:b/>
          <w:bCs/>
          <w:color w:val="16224D"/>
          <w:sz w:val="34"/>
          <w:szCs w:val="34"/>
        </w:rPr>
        <w:t xml:space="preserve">Screenshots: Login &amp; Dashboard</w:t>
      </w:r>
    </w:p>
    <w:p>
      <w:pPr>
        <w:spacing w:after="160" w:line="300"/>
        <w:jc w:val="left"/>
      </w:pPr>
      <w:r>
        <w:rPr>
          <w:rFonts w:ascii="Calibri" w:cs="Calibri" w:eastAsia="Calibri" w:hAnsi="Calibri"/>
          <w:i w:val="false"/>
          <w:iCs w:val="false"/>
          <w:color w:val="20293B"/>
          <w:sz w:val="21"/>
          <w:szCs w:val="21"/>
        </w:rPr>
        <w:t xml:space="preserve">Access to both tools is protected behind a secure login screen. Once authenticated, the user lands on a dashboard that lets them choose between the two available modules.</w:t>
      </w:r>
    </w:p>
    <w:p>
      <w:pPr>
        <w:spacing w:after="60" w:before="120"/>
        <w:jc w:val="center"/>
      </w:pPr>
      <w:r>
        <w:drawing>
          <wp:inline distT="0" distB="0" distL="0" distR="0">
            <wp:extent cx="4381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105025"/>
                    </a:xfrm>
                    <a:prstGeom prst="rect">
                      <a:avLst/>
                    </a:prstGeom>
                  </pic:spPr>
                </pic:pic>
              </a:graphicData>
            </a:graphic>
          </wp:inline>
        </w:drawing>
      </w:r>
    </w:p>
    <w:p>
      <w:pPr>
        <w:spacing w:after="200"/>
        <w:jc w:val="center"/>
      </w:pPr>
      <w:r>
        <w:rPr>
          <w:rFonts w:ascii="Calibri" w:cs="Calibri" w:eastAsia="Calibri" w:hAnsi="Calibri"/>
          <w:i/>
          <w:iCs/>
          <w:color w:val="5B6472"/>
          <w:sz w:val="18"/>
          <w:szCs w:val="18"/>
        </w:rPr>
        <w:t xml:space="preserve">Figure 5.1(a) — Secure Login Portal</w:t>
      </w:r>
    </w:p>
    <w:p>
      <w:pPr>
        <w:spacing w:after="180" w:line="300"/>
        <w:jc w:val="left"/>
      </w:pPr>
      <w:r>
        <w:rPr>
          <w:rFonts w:ascii="Calibri" w:cs="Calibri" w:eastAsia="Calibri" w:hAnsi="Calibri"/>
          <w:i w:val="false"/>
          <w:iCs w:val="false"/>
          <w:color w:val="20293B"/>
          <w:sz w:val="21"/>
          <w:szCs w:val="21"/>
        </w:rPr>
        <w:t xml:space="preserve">The login screen accepts a username and password and keeps the session authenticated for the duration of the visit, so that a user is never asked to re-enter their credentials while moving between modules.</w:t>
      </w:r>
    </w:p>
    <w:p>
      <w:pPr>
        <w:spacing w:after="60" w:before="120"/>
        <w:jc w:val="center"/>
      </w:pPr>
      <w:r>
        <w:drawing>
          <wp:inline distT="0" distB="0" distL="0" distR="0">
            <wp:extent cx="4381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105025"/>
                    </a:xfrm>
                    <a:prstGeom prst="rect">
                      <a:avLst/>
                    </a:prstGeom>
                  </pic:spPr>
                </pic:pic>
              </a:graphicData>
            </a:graphic>
          </wp:inline>
        </w:drawing>
      </w:r>
    </w:p>
    <w:p>
      <w:pPr>
        <w:spacing w:after="200"/>
        <w:jc w:val="center"/>
      </w:pPr>
      <w:r>
        <w:rPr>
          <w:rFonts w:ascii="Calibri" w:cs="Calibri" w:eastAsia="Calibri" w:hAnsi="Calibri"/>
          <w:i/>
          <w:iCs/>
          <w:color w:val="5B6472"/>
          <w:sz w:val="18"/>
          <w:szCs w:val="18"/>
        </w:rPr>
        <w:t xml:space="preserve">Figure 5.1(b) — Dashboard: Payslip Analysis &amp; Bank Statement Analysis modules</w:t>
      </w:r>
    </w:p>
    <w:p>
      <w:pPr>
        <w:spacing w:after="100" w:line="300"/>
        <w:jc w:val="left"/>
      </w:pPr>
      <w:r>
        <w:rPr>
          <w:rFonts w:ascii="Calibri" w:cs="Calibri" w:eastAsia="Calibri" w:hAnsi="Calibri"/>
          <w:i w:val="false"/>
          <w:iCs w:val="false"/>
          <w:color w:val="20293B"/>
          <w:sz w:val="21"/>
          <w:szCs w:val="21"/>
        </w:rPr>
        <w:t xml:space="preserve">The dashboard presents both modules as separate cards, each summarizing what it does before the user commits to uploading a document — keeping the interface predictable and easy to navigate even for a first-time user.</w:t>
      </w:r>
    </w:p>
    <w:p>
      <w:r>
        <w:br w:type="page"/>
      </w:r>
    </w:p>
    <w:p>
      <w:pPr>
        <w:spacing w:after="80"/>
      </w:pPr>
      <w:r>
        <w:rPr>
          <w:rFonts w:ascii="Calibri" w:cs="Calibri" w:eastAsia="Calibri" w:hAnsi="Calibri"/>
          <w:b/>
          <w:bCs/>
          <w:color w:val="AD6F17"/>
          <w:spacing w:val="20"/>
          <w:sz w:val="19"/>
          <w:szCs w:val="19"/>
        </w:rPr>
        <w:t xml:space="preserve">CHAPTER 5.2</w:t>
      </w:r>
    </w:p>
    <w:p>
      <w:pPr>
        <w:pBdr>
          <w:bottom w:val="single" w:color="D8DFEE" w:sz="6" w:space="8"/>
        </w:pBdr>
        <w:spacing w:after="260"/>
      </w:pPr>
      <w:r>
        <w:rPr>
          <w:rFonts w:ascii="Cambria" w:cs="Cambria" w:eastAsia="Cambria" w:hAnsi="Cambria"/>
          <w:b/>
          <w:bCs/>
          <w:color w:val="16224D"/>
          <w:sz w:val="34"/>
          <w:szCs w:val="34"/>
        </w:rPr>
        <w:t xml:space="preserve">Screenshots: Upload &amp; Analysis Result</w:t>
      </w:r>
    </w:p>
    <w:p>
      <w:pPr>
        <w:spacing w:after="160" w:line="300"/>
        <w:jc w:val="left"/>
      </w:pPr>
      <w:r>
        <w:rPr>
          <w:rFonts w:ascii="Calibri" w:cs="Calibri" w:eastAsia="Calibri" w:hAnsi="Calibri"/>
          <w:i w:val="false"/>
          <w:iCs w:val="false"/>
          <w:color w:val="20293B"/>
          <w:sz w:val="21"/>
          <w:szCs w:val="21"/>
        </w:rPr>
        <w:t xml:space="preserve">After uploading a payslip, the system displays the full component breakdown, the computed net income, the eligibility verdict, and a pie chart of the salary distribution.</w:t>
      </w:r>
    </w:p>
    <w:p>
      <w:pPr>
        <w:spacing w:after="60" w:before="120"/>
        <w:jc w:val="center"/>
      </w:pPr>
      <w:r>
        <w:drawing>
          <wp:inline distT="0" distB="0" distL="0" distR="0">
            <wp:extent cx="4381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105025"/>
                    </a:xfrm>
                    <a:prstGeom prst="rect">
                      <a:avLst/>
                    </a:prstGeom>
                  </pic:spPr>
                </pic:pic>
              </a:graphicData>
            </a:graphic>
          </wp:inline>
        </w:drawing>
      </w:r>
    </w:p>
    <w:p>
      <w:pPr>
        <w:spacing w:after="200"/>
        <w:jc w:val="center"/>
      </w:pPr>
      <w:r>
        <w:rPr>
          <w:rFonts w:ascii="Calibri" w:cs="Calibri" w:eastAsia="Calibri" w:hAnsi="Calibri"/>
          <w:i/>
          <w:iCs/>
          <w:color w:val="5B6472"/>
          <w:sz w:val="18"/>
          <w:szCs w:val="18"/>
        </w:rPr>
        <w:t xml:space="preserve">Figure 5.2(a) — Payslip Upload</w:t>
      </w:r>
    </w:p>
    <w:p>
      <w:pPr>
        <w:spacing w:after="180" w:line="300"/>
        <w:jc w:val="left"/>
      </w:pPr>
      <w:r>
        <w:rPr>
          <w:rFonts w:ascii="Calibri" w:cs="Calibri" w:eastAsia="Calibri" w:hAnsi="Calibri"/>
          <w:i w:val="false"/>
          <w:iCs w:val="false"/>
          <w:color w:val="20293B"/>
          <w:sz w:val="21"/>
          <w:szCs w:val="21"/>
        </w:rPr>
        <w:t xml:space="preserve">The upload screen accepts PDF, JPG or PNG payslips and immediately hands the file to the OCR and extraction pipeline once “Upload &amp; Analyze” is selected.</w:t>
      </w:r>
    </w:p>
    <w:p>
      <w:pPr>
        <w:spacing w:after="60" w:before="120"/>
        <w:jc w:val="center"/>
      </w:pPr>
      <w:r>
        <w:drawing>
          <wp:inline distT="0" distB="0" distL="0" distR="0">
            <wp:extent cx="4381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2105025"/>
                    </a:xfrm>
                    <a:prstGeom prst="rect">
                      <a:avLst/>
                    </a:prstGeom>
                  </pic:spPr>
                </pic:pic>
              </a:graphicData>
            </a:graphic>
          </wp:inline>
        </w:drawing>
      </w:r>
    </w:p>
    <w:p>
      <w:pPr>
        <w:spacing w:after="200"/>
        <w:jc w:val="center"/>
      </w:pPr>
      <w:r>
        <w:rPr>
          <w:rFonts w:ascii="Calibri" w:cs="Calibri" w:eastAsia="Calibri" w:hAnsi="Calibri"/>
          <w:i/>
          <w:iCs/>
          <w:color w:val="5B6472"/>
          <w:sz w:val="18"/>
          <w:szCs w:val="18"/>
        </w:rPr>
        <w:t xml:space="preserve">Figure 5.2(b) — Salary Breakdown, Verdict &amp; Distribution Pie Chart</w:t>
      </w:r>
    </w:p>
    <w:p>
      <w:pPr>
        <w:spacing w:after="160" w:line="300"/>
        <w:jc w:val="left"/>
      </w:pPr>
      <w:r>
        <w:rPr>
          <w:rFonts w:ascii="Calibri" w:cs="Calibri" w:eastAsia="Calibri" w:hAnsi="Calibri"/>
          <w:i w:val="false"/>
          <w:iCs w:val="false"/>
          <w:color w:val="20293B"/>
          <w:sz w:val="21"/>
          <w:szCs w:val="21"/>
        </w:rPr>
        <w:t xml:space="preserve">The result page lists every detected component in a plain table before rendering the pie chart, so the user can always trace the final verdict back to the exact numbers the system read from their document.</w:t>
      </w:r>
    </w:p>
    <w:tbl>
      <w:tblPr>
        <w:tblW w:type="dxa" w:w="9906"/>
        <w:tblBorders>
          <w:top w:val="single" w:color="B43A2F" w:sz="8"/>
          <w:left w:val="single" w:color="B43A2F" w:sz="8"/>
          <w:bottom w:val="single" w:color="B43A2F" w:sz="8"/>
          <w:right w:val="single" w:color="B43A2F" w:sz="8"/>
          <w:insideH w:val="single" w:color="auto" w:sz="4"/>
          <w:insideV w:val="single" w:color="auto" w:sz="4"/>
        </w:tblBorders>
      </w:tblPr>
      <w:tblGrid>
        <w:gridCol w:w="100"/>
      </w:tblGrid>
      <w:tr>
        <w:tc>
          <w:tcPr>
            <w:shd w:fill="F7E3E0" w:val="clear"/>
            <w:tcMar>
              <w:top w:type="dxa" w:w="200"/>
              <w:left w:type="dxa" w:w="260"/>
              <w:bottom w:type="dxa" w:w="200"/>
              <w:right w:type="dxa" w:w="260"/>
            </w:tcMar>
          </w:tcPr>
          <w:p>
            <w:r>
              <w:rPr>
                <w:rFonts w:ascii="Calibri" w:cs="Calibri" w:eastAsia="Calibri" w:hAnsi="Calibri"/>
                <w:b/>
                <w:bCs/>
                <w:color w:val="B43A2F"/>
                <w:sz w:val="19"/>
                <w:szCs w:val="19"/>
              </w:rPr>
              <w:t xml:space="preserve">Sample Result:  </w:t>
            </w:r>
            <w:r>
              <w:rPr>
                <w:rFonts w:ascii="Calibri" w:cs="Calibri" w:eastAsia="Calibri" w:hAnsi="Calibri"/>
                <w:b/>
                <w:bCs/>
                <w:color w:val="B43A2F"/>
                <w:sz w:val="19"/>
                <w:szCs w:val="19"/>
              </w:rPr>
              <w:t xml:space="preserve">✗ Not Eligible — Net income below ₹ 20,000 threshold</w:t>
            </w:r>
          </w:p>
        </w:tc>
      </w:tr>
    </w:tbl>
    <w:p>
      <w:r>
        <w:br w:type="page"/>
      </w:r>
    </w:p>
    <w:p>
      <w:pPr>
        <w:spacing w:after="80"/>
      </w:pPr>
      <w:r>
        <w:rPr>
          <w:rFonts w:ascii="Calibri" w:cs="Calibri" w:eastAsia="Calibri" w:hAnsi="Calibri"/>
          <w:b/>
          <w:bCs/>
          <w:color w:val="AD6F17"/>
          <w:spacing w:val="20"/>
          <w:sz w:val="19"/>
          <w:szCs w:val="19"/>
        </w:rPr>
        <w:t xml:space="preserve">CHAPTER 6 · MODULE 02</w:t>
      </w:r>
    </w:p>
    <w:p>
      <w:pPr>
        <w:pBdr>
          <w:bottom w:val="single" w:color="D8DFEE" w:sz="6" w:space="8"/>
        </w:pBdr>
        <w:spacing w:after="260"/>
      </w:pPr>
      <w:r>
        <w:rPr>
          <w:rFonts w:ascii="Cambria" w:cs="Cambria" w:eastAsia="Cambria" w:hAnsi="Cambria"/>
          <w:b/>
          <w:bCs/>
          <w:color w:val="16224D"/>
          <w:sz w:val="34"/>
          <w:szCs w:val="34"/>
        </w:rPr>
        <w:t xml:space="preserve">Bank Statement Analysis with BERT</w:t>
      </w:r>
    </w:p>
    <w:p>
      <w:pPr>
        <w:spacing w:after="220" w:line="300"/>
        <w:jc w:val="left"/>
      </w:pPr>
      <w:r>
        <w:rPr>
          <w:rFonts w:ascii="Calibri" w:cs="Calibri" w:eastAsia="Calibri" w:hAnsi="Calibri"/>
          <w:i w:val="false"/>
          <w:iCs w:val="false"/>
          <w:color w:val="20293B"/>
          <w:sz w:val="21"/>
          <w:szCs w:val="21"/>
        </w:rPr>
        <w:t xml:space="preserve">This module allows a user to upload a bank statement and receive an automatic, category-wise breakdown of their spending — powered by a BERT-based transaction classifier.</w:t>
      </w:r>
    </w:p>
    <w:p>
      <w:pPr>
        <w:tabs>
          <w:tab w:val="left" w:pos="420"/>
        </w:tabs>
        <w:spacing w:after="150" w:line="280"/>
      </w:pPr>
      <w:r>
        <w:rPr>
          <w:rFonts w:ascii="Calibri" w:cs="Calibri" w:eastAsia="Calibri" w:hAnsi="Calibri"/>
          <w:b/>
          <w:bCs/>
          <w:color w:val="AD6F17"/>
          <w:sz w:val="22"/>
          <w:szCs w:val="22"/>
        </w:rPr>
        <w:t xml:space="preserve">1. </w:t>
      </w:r>
      <w:r>
        <w:rPr>
          <w:rFonts w:ascii="Calibri" w:cs="Calibri" w:eastAsia="Calibri" w:hAnsi="Calibri"/>
          <w:b/>
          <w:bCs/>
          <w:color w:val="16224D"/>
          <w:sz w:val="22"/>
          <w:szCs w:val="22"/>
        </w:rPr>
        <w:t xml:space="preserve">Upload  —  </w:t>
      </w:r>
      <w:r>
        <w:rPr>
          <w:rFonts w:ascii="Calibri" w:cs="Calibri" w:eastAsia="Calibri" w:hAnsi="Calibri"/>
          <w:color w:val="20293B"/>
          <w:sz w:val="21"/>
          <w:szCs w:val="21"/>
        </w:rPr>
        <w:t xml:space="preserve">User uploads a bank statement PDF</w:t>
      </w:r>
    </w:p>
    <w:p>
      <w:pPr>
        <w:tabs>
          <w:tab w:val="left" w:pos="420"/>
        </w:tabs>
        <w:spacing w:after="150" w:line="280"/>
      </w:pPr>
      <w:r>
        <w:rPr>
          <w:rFonts w:ascii="Calibri" w:cs="Calibri" w:eastAsia="Calibri" w:hAnsi="Calibri"/>
          <w:b/>
          <w:bCs/>
          <w:color w:val="AD6F17"/>
          <w:sz w:val="22"/>
          <w:szCs w:val="22"/>
        </w:rPr>
        <w:t xml:space="preserve">2. </w:t>
      </w:r>
      <w:r>
        <w:rPr>
          <w:rFonts w:ascii="Calibri" w:cs="Calibri" w:eastAsia="Calibri" w:hAnsi="Calibri"/>
          <w:b/>
          <w:bCs/>
          <w:color w:val="16224D"/>
          <w:sz w:val="22"/>
          <w:szCs w:val="22"/>
        </w:rPr>
        <w:t xml:space="preserve">Parse  —  </w:t>
      </w:r>
      <w:r>
        <w:rPr>
          <w:rFonts w:ascii="Calibri" w:cs="Calibri" w:eastAsia="Calibri" w:hAnsi="Calibri"/>
          <w:color w:val="20293B"/>
          <w:sz w:val="21"/>
          <w:szCs w:val="21"/>
        </w:rPr>
        <w:t xml:space="preserve">Transactions (date, description, amount) are extracted from the statement</w:t>
      </w:r>
    </w:p>
    <w:p>
      <w:pPr>
        <w:tabs>
          <w:tab w:val="left" w:pos="420"/>
        </w:tabs>
        <w:spacing w:after="150" w:line="280"/>
      </w:pPr>
      <w:r>
        <w:rPr>
          <w:rFonts w:ascii="Calibri" w:cs="Calibri" w:eastAsia="Calibri" w:hAnsi="Calibri"/>
          <w:b/>
          <w:bCs/>
          <w:color w:val="AD6F17"/>
          <w:sz w:val="22"/>
          <w:szCs w:val="22"/>
        </w:rPr>
        <w:t xml:space="preserve">3. </w:t>
      </w:r>
      <w:r>
        <w:rPr>
          <w:rFonts w:ascii="Calibri" w:cs="Calibri" w:eastAsia="Calibri" w:hAnsi="Calibri"/>
          <w:b/>
          <w:bCs/>
          <w:color w:val="16224D"/>
          <w:sz w:val="22"/>
          <w:szCs w:val="22"/>
        </w:rPr>
        <w:t xml:space="preserve">Classify  —  </w:t>
      </w:r>
      <w:r>
        <w:rPr>
          <w:rFonts w:ascii="Calibri" w:cs="Calibri" w:eastAsia="Calibri" w:hAnsi="Calibri"/>
          <w:color w:val="20293B"/>
          <w:sz w:val="21"/>
          <w:szCs w:val="21"/>
        </w:rPr>
        <w:t xml:space="preserve">Each transaction description is passed through a fine-tuned BERT model to predict its category</w:t>
      </w:r>
    </w:p>
    <w:p>
      <w:pPr>
        <w:tabs>
          <w:tab w:val="left" w:pos="420"/>
        </w:tabs>
        <w:spacing w:after="150" w:line="280"/>
      </w:pPr>
      <w:r>
        <w:rPr>
          <w:rFonts w:ascii="Calibri" w:cs="Calibri" w:eastAsia="Calibri" w:hAnsi="Calibri"/>
          <w:b/>
          <w:bCs/>
          <w:color w:val="AD6F17"/>
          <w:sz w:val="22"/>
          <w:szCs w:val="22"/>
        </w:rPr>
        <w:t xml:space="preserve">4. </w:t>
      </w:r>
      <w:r>
        <w:rPr>
          <w:rFonts w:ascii="Calibri" w:cs="Calibri" w:eastAsia="Calibri" w:hAnsi="Calibri"/>
          <w:b/>
          <w:bCs/>
          <w:color w:val="16224D"/>
          <w:sz w:val="22"/>
          <w:szCs w:val="22"/>
        </w:rPr>
        <w:t xml:space="preserve">Aggregate  —  </w:t>
      </w:r>
      <w:r>
        <w:rPr>
          <w:rFonts w:ascii="Calibri" w:cs="Calibri" w:eastAsia="Calibri" w:hAnsi="Calibri"/>
          <w:color w:val="20293B"/>
          <w:sz w:val="21"/>
          <w:szCs w:val="21"/>
        </w:rPr>
        <w:t xml:space="preserve">Amounts are summed per category (Food, Transport, Medical, Shopping, etc.)</w:t>
      </w:r>
    </w:p>
    <w:p>
      <w:pPr>
        <w:tabs>
          <w:tab w:val="left" w:pos="420"/>
        </w:tabs>
        <w:spacing w:after="150" w:line="280"/>
      </w:pPr>
      <w:r>
        <w:rPr>
          <w:rFonts w:ascii="Calibri" w:cs="Calibri" w:eastAsia="Calibri" w:hAnsi="Calibri"/>
          <w:b/>
          <w:bCs/>
          <w:color w:val="AD6F17"/>
          <w:sz w:val="22"/>
          <w:szCs w:val="22"/>
        </w:rPr>
        <w:t xml:space="preserve">5. </w:t>
      </w:r>
      <w:r>
        <w:rPr>
          <w:rFonts w:ascii="Calibri" w:cs="Calibri" w:eastAsia="Calibri" w:hAnsi="Calibri"/>
          <w:b/>
          <w:bCs/>
          <w:color w:val="16224D"/>
          <w:sz w:val="22"/>
          <w:szCs w:val="22"/>
        </w:rPr>
        <w:t xml:space="preserve">Visualize  —  </w:t>
      </w:r>
      <w:r>
        <w:rPr>
          <w:rFonts w:ascii="Calibri" w:cs="Calibri" w:eastAsia="Calibri" w:hAnsi="Calibri"/>
          <w:color w:val="20293B"/>
          <w:sz w:val="21"/>
          <w:szCs w:val="21"/>
        </w:rPr>
        <w:t xml:space="preserve">Results are rendered as a category pie chart and a top-categories bar plot</w:t>
      </w:r>
    </w:p>
    <w:tbl>
      <w:tblPr>
        <w:tblW w:type="dxa" w:w="9906"/>
        <w:tblBorders>
          <w:top w:val="single" w:color="EFC080" w:sz="8"/>
          <w:left w:val="single" w:color="EFC080" w:sz="8"/>
          <w:bottom w:val="single" w:color="EFC080" w:sz="8"/>
          <w:right w:val="single" w:color="EFC080" w:sz="8"/>
          <w:insideH w:val="single" w:color="auto" w:sz="4"/>
          <w:insideV w:val="single" w:color="auto" w:sz="4"/>
        </w:tblBorders>
      </w:tblPr>
      <w:tblGrid>
        <w:gridCol w:w="100"/>
      </w:tblGrid>
      <w:tr>
        <w:tc>
          <w:tcPr>
            <w:shd w:fill="FBF0DF" w:val="clear"/>
            <w:tcMar>
              <w:top w:type="dxa" w:w="200"/>
              <w:left w:type="dxa" w:w="260"/>
              <w:bottom w:type="dxa" w:w="200"/>
              <w:right w:type="dxa" w:w="260"/>
            </w:tcMar>
          </w:tcPr>
          <w:p>
            <w:r>
              <w:rPr>
                <w:rFonts w:ascii="Calibri" w:cs="Calibri" w:eastAsia="Calibri" w:hAnsi="Calibri"/>
                <w:b/>
                <w:bCs/>
                <w:color w:val="AD6F17"/>
                <w:sz w:val="21"/>
                <w:szCs w:val="21"/>
              </w:rPr>
              <w:t xml:space="preserve">BERT in Action</w:t>
            </w:r>
          </w:p>
          <w:p>
            <w:pPr>
              <w:spacing w:before="100"/>
            </w:pPr>
            <w:r>
              <w:rPr>
                <w:rFonts w:ascii="Calibri" w:cs="Calibri" w:eastAsia="Calibri" w:hAnsi="Calibri"/>
                <w:color w:val="20293B"/>
                <w:sz w:val="20"/>
                <w:szCs w:val="20"/>
              </w:rPr>
              <w:t xml:space="preserve">“SWIGGY *ORDER 500”</w:t>
            </w:r>
            <w:r>
              <w:rPr>
                <w:rFonts w:ascii="Calibri" w:cs="Calibri" w:eastAsia="Calibri" w:hAnsi="Calibri"/>
                <w:b/>
                <w:bCs/>
                <w:color w:val="AD6F17"/>
                <w:sz w:val="20"/>
                <w:szCs w:val="20"/>
              </w:rPr>
              <w:t xml:space="preserve">   →   </w:t>
            </w:r>
            <w:r>
              <w:rPr>
                <w:rFonts w:ascii="Calibri" w:cs="Calibri" w:eastAsia="Calibri" w:hAnsi="Calibri"/>
                <w:b/>
                <w:bCs/>
                <w:color w:val="16224D"/>
                <w:sz w:val="20"/>
                <w:szCs w:val="20"/>
              </w:rPr>
              <w:t xml:space="preserve">Category: Food  –  ₹500</w:t>
            </w:r>
          </w:p>
          <w:p>
            <w:pPr>
              <w:spacing w:before="100"/>
            </w:pPr>
            <w:r>
              <w:rPr>
                <w:rFonts w:ascii="Calibri" w:cs="Calibri" w:eastAsia="Calibri" w:hAnsi="Calibri"/>
                <w:i/>
                <w:iCs/>
                <w:color w:val="5B6472"/>
                <w:sz w:val="18"/>
                <w:szCs w:val="18"/>
              </w:rPr>
              <w:t xml:space="preserve">BERT reads plain transaction text and maps it directly to a spending category — no manual tagging required.</w:t>
            </w:r>
          </w:p>
        </w:tc>
      </w:tr>
    </w:tbl>
    <w:p>
      <w:pPr>
        <w:spacing w:after="100" w:line="300"/>
        <w:jc w:val="left"/>
      </w:pPr>
      <w:r>
        <w:rPr>
          <w:rFonts w:ascii="Calibri" w:cs="Calibri" w:eastAsia="Calibri" w:hAnsi="Calibri"/>
          <w:i w:val="false"/>
          <w:iCs w:val="false"/>
          <w:color w:val="20293B"/>
          <w:sz w:val="21"/>
          <w:szCs w:val="21"/>
        </w:rPr>
        <w:t xml:space="preserve">Because BERT works directly on free text, it copes well with the inconsistent, abbreviated merchant strings that appear on real bank statements — without needing a hand-maintained list of keywords or merchant names to match against.</w:t>
      </w:r>
    </w:p>
    <w:p>
      <w:r>
        <w:br w:type="page"/>
      </w:r>
    </w:p>
    <w:p>
      <w:pPr>
        <w:spacing w:after="80"/>
      </w:pPr>
      <w:r>
        <w:rPr>
          <w:rFonts w:ascii="Calibri" w:cs="Calibri" w:eastAsia="Calibri" w:hAnsi="Calibri"/>
          <w:b/>
          <w:bCs/>
          <w:color w:val="AD6F17"/>
          <w:spacing w:val="20"/>
          <w:sz w:val="19"/>
          <w:szCs w:val="19"/>
        </w:rPr>
        <w:t xml:space="preserve">CHAPTER 6.1</w:t>
      </w:r>
    </w:p>
    <w:p>
      <w:pPr>
        <w:pBdr>
          <w:bottom w:val="single" w:color="D8DFEE" w:sz="6" w:space="8"/>
        </w:pBdr>
        <w:spacing w:after="260"/>
      </w:pPr>
      <w:r>
        <w:rPr>
          <w:rFonts w:ascii="Cambria" w:cs="Cambria" w:eastAsia="Cambria" w:hAnsi="Cambria"/>
          <w:b/>
          <w:bCs/>
          <w:color w:val="16224D"/>
          <w:sz w:val="34"/>
          <w:szCs w:val="34"/>
        </w:rPr>
        <w:t xml:space="preserve">Screenshots: Upload &amp; Bar Chart</w:t>
      </w:r>
    </w:p>
    <w:p>
      <w:pPr>
        <w:spacing w:after="160" w:line="300"/>
        <w:jc w:val="left"/>
      </w:pPr>
      <w:r>
        <w:rPr>
          <w:rFonts w:ascii="Calibri" w:cs="Calibri" w:eastAsia="Calibri" w:hAnsi="Calibri"/>
          <w:i w:val="false"/>
          <w:iCs w:val="false"/>
          <w:color w:val="20293B"/>
          <w:sz w:val="21"/>
          <w:szCs w:val="21"/>
        </w:rPr>
        <w:t xml:space="preserve">The bank statement upload screen highlights the module's core features before the user uploads a PDF for analysis. The resulting bar plot ranks categories by total amount spent.</w:t>
      </w:r>
    </w:p>
    <w:p>
      <w:pPr>
        <w:spacing w:after="60" w:before="120"/>
        <w:jc w:val="center"/>
      </w:pPr>
      <w:r>
        <w:drawing>
          <wp:inline distT="0" distB="0" distL="0" distR="0">
            <wp:extent cx="4381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2095500"/>
                    </a:xfrm>
                    <a:prstGeom prst="rect">
                      <a:avLst/>
                    </a:prstGeom>
                  </pic:spPr>
                </pic:pic>
              </a:graphicData>
            </a:graphic>
          </wp:inline>
        </w:drawing>
      </w:r>
    </w:p>
    <w:p>
      <w:pPr>
        <w:spacing w:after="200"/>
        <w:jc w:val="center"/>
      </w:pPr>
      <w:r>
        <w:rPr>
          <w:rFonts w:ascii="Calibri" w:cs="Calibri" w:eastAsia="Calibri" w:hAnsi="Calibri"/>
          <w:i/>
          <w:iCs/>
          <w:color w:val="5B6472"/>
          <w:sz w:val="18"/>
          <w:szCs w:val="18"/>
        </w:rPr>
        <w:t xml:space="preserve">Figure 6.1(a) — Upload Bank Statement</w:t>
      </w:r>
    </w:p>
    <w:p>
      <w:pPr>
        <w:spacing w:after="180" w:line="300"/>
        <w:jc w:val="left"/>
      </w:pPr>
      <w:r>
        <w:rPr>
          <w:rFonts w:ascii="Calibri" w:cs="Calibri" w:eastAsia="Calibri" w:hAnsi="Calibri"/>
          <w:i w:val="false"/>
          <w:iCs w:val="false"/>
          <w:color w:val="20293B"/>
          <w:sz w:val="21"/>
          <w:szCs w:val="21"/>
        </w:rPr>
        <w:t xml:space="preserve">The upload page lists the module's feature set alongside the upload control, so the user knows exactly what to expect — automatic PDF extraction, description detection, debit transaction analysis, category classification and both chart types — before they commit to uploading a statement.</w:t>
      </w:r>
    </w:p>
    <w:p>
      <w:pPr>
        <w:spacing w:after="60" w:before="120"/>
        <w:jc w:val="center"/>
      </w:pPr>
      <w:r>
        <w:drawing>
          <wp:inline distT="0" distB="0" distL="0" distR="0">
            <wp:extent cx="4381500" cy="1914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1914525"/>
                    </a:xfrm>
                    <a:prstGeom prst="rect">
                      <a:avLst/>
                    </a:prstGeom>
                  </pic:spPr>
                </pic:pic>
              </a:graphicData>
            </a:graphic>
          </wp:inline>
        </w:drawing>
      </w:r>
    </w:p>
    <w:p>
      <w:pPr>
        <w:spacing w:after="200"/>
        <w:jc w:val="center"/>
      </w:pPr>
      <w:r>
        <w:rPr>
          <w:rFonts w:ascii="Calibri" w:cs="Calibri" w:eastAsia="Calibri" w:hAnsi="Calibri"/>
          <w:i/>
          <w:iCs/>
          <w:color w:val="5B6472"/>
          <w:sz w:val="18"/>
          <w:szCs w:val="18"/>
        </w:rPr>
        <w:t xml:space="preserve">Figure 6.1(b) — Top 7 Transaction Categories (Bar Plot)</w:t>
      </w:r>
    </w:p>
    <w:p>
      <w:pPr>
        <w:spacing w:after="100" w:line="300"/>
        <w:jc w:val="left"/>
      </w:pPr>
      <w:r>
        <w:rPr>
          <w:rFonts w:ascii="Calibri" w:cs="Calibri" w:eastAsia="Calibri" w:hAnsi="Calibri"/>
          <w:i w:val="false"/>
          <w:iCs w:val="false"/>
          <w:color w:val="20293B"/>
          <w:sz w:val="21"/>
          <w:szCs w:val="21"/>
        </w:rPr>
        <w:t xml:space="preserve">Ranking categories by absolute amount, rather than by transaction count, immediately surfaces where the largest sums of money actually went — which is usually more useful to a user than knowing which category had the most individual transactions.</w:t>
      </w:r>
    </w:p>
    <w:p>
      <w:r>
        <w:br w:type="page"/>
      </w:r>
    </w:p>
    <w:p>
      <w:pPr>
        <w:spacing w:after="80"/>
      </w:pPr>
      <w:r>
        <w:rPr>
          <w:rFonts w:ascii="Calibri" w:cs="Calibri" w:eastAsia="Calibri" w:hAnsi="Calibri"/>
          <w:b/>
          <w:bCs/>
          <w:color w:val="AD6F17"/>
          <w:spacing w:val="20"/>
          <w:sz w:val="19"/>
          <w:szCs w:val="19"/>
        </w:rPr>
        <w:t xml:space="preserve">CHAPTER 6.2</w:t>
      </w:r>
    </w:p>
    <w:p>
      <w:pPr>
        <w:pBdr>
          <w:bottom w:val="single" w:color="D8DFEE" w:sz="6" w:space="8"/>
        </w:pBdr>
        <w:spacing w:after="260"/>
      </w:pPr>
      <w:r>
        <w:rPr>
          <w:rFonts w:ascii="Cambria" w:cs="Cambria" w:eastAsia="Cambria" w:hAnsi="Cambria"/>
          <w:b/>
          <w:bCs/>
          <w:color w:val="16224D"/>
          <w:sz w:val="34"/>
          <w:szCs w:val="34"/>
        </w:rPr>
        <w:t xml:space="preserve">Screenshot: Pie Chart &amp; Key Insights</w:t>
      </w:r>
    </w:p>
    <w:p>
      <w:pPr>
        <w:spacing w:after="140" w:line="300"/>
        <w:jc w:val="left"/>
      </w:pPr>
      <w:r>
        <w:rPr>
          <w:rFonts w:ascii="Calibri" w:cs="Calibri" w:eastAsia="Calibri" w:hAnsi="Calibri"/>
          <w:i w:val="false"/>
          <w:iCs w:val="false"/>
          <w:color w:val="20293B"/>
          <w:sz w:val="21"/>
          <w:szCs w:val="21"/>
        </w:rPr>
        <w:t xml:space="preserve">The same categorized data is also rendered as a pie chart, giving a proportional view of spending that complements the ranked bar plot on the previous page.</w:t>
      </w:r>
    </w:p>
    <w:p>
      <w:pPr>
        <w:spacing w:after="60" w:before="120"/>
        <w:jc w:val="center"/>
      </w:pPr>
      <w:r>
        <w:drawing>
          <wp:inline distT="0" distB="0" distL="0" distR="0">
            <wp:extent cx="4000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0" cy="1752600"/>
                    </a:xfrm>
                    <a:prstGeom prst="rect">
                      <a:avLst/>
                    </a:prstGeom>
                  </pic:spPr>
                </pic:pic>
              </a:graphicData>
            </a:graphic>
          </wp:inline>
        </w:drawing>
      </w:r>
    </w:p>
    <w:p>
      <w:pPr>
        <w:spacing w:after="200"/>
        <w:jc w:val="center"/>
      </w:pPr>
      <w:r>
        <w:rPr>
          <w:rFonts w:ascii="Calibri" w:cs="Calibri" w:eastAsia="Calibri" w:hAnsi="Calibri"/>
          <w:i/>
          <w:iCs/>
          <w:color w:val="5B6472"/>
          <w:sz w:val="18"/>
          <w:szCs w:val="18"/>
        </w:rPr>
        <w:t xml:space="preserve">Figure 6.2 — Category-wise Expense Pie Chart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606"/>
        <w:gridCol w:w="2400"/>
        <w:gridCol w:w="1900"/>
      </w:tblGrid>
      <w:tr>
        <w:tc>
          <w:tcPr>
            <w:shd w:fill="16224D" w:val="clear"/>
            <w:tcMar>
              <w:top w:type="dxa" w:w="100"/>
              <w:left w:type="dxa" w:w="160"/>
              <w:bottom w:type="dxa" w:w="100"/>
              <w:right w:type="dxa" w:w="160"/>
            </w:tcMar>
          </w:tcPr>
          <w:p>
            <w:r>
              <w:rPr>
                <w:rFonts w:ascii="Calibri" w:cs="Calibri" w:eastAsia="Calibri" w:hAnsi="Calibri"/>
                <w:b/>
                <w:bCs/>
                <w:color w:val="FFFFFF"/>
                <w:spacing w:val="6"/>
                <w:sz w:val="18"/>
                <w:szCs w:val="18"/>
              </w:rPr>
              <w:t xml:space="preserve">Category</w:t>
            </w:r>
          </w:p>
        </w:tc>
        <w:tc>
          <w:tcPr>
            <w:shd w:fill="16224D" w:val="clear"/>
            <w:tcMar>
              <w:top w:type="dxa" w:w="100"/>
              <w:left w:type="dxa" w:w="160"/>
              <w:bottom w:type="dxa" w:w="100"/>
              <w:right w:type="dxa" w:w="160"/>
            </w:tcMar>
          </w:tcPr>
          <w:p>
            <w:r>
              <w:rPr>
                <w:rFonts w:ascii="Calibri" w:cs="Calibri" w:eastAsia="Calibri" w:hAnsi="Calibri"/>
                <w:b/>
                <w:bCs/>
                <w:color w:val="FFFFFF"/>
                <w:spacing w:val="6"/>
                <w:sz w:val="18"/>
                <w:szCs w:val="18"/>
              </w:rPr>
              <w:t xml:space="preserve">% Share</w:t>
            </w:r>
          </w:p>
        </w:tc>
        <w:tc>
          <w:tcPr>
            <w:shd w:fill="16224D" w:val="clear"/>
            <w:tcMar>
              <w:top w:type="dxa" w:w="100"/>
              <w:left w:type="dxa" w:w="160"/>
              <w:bottom w:type="dxa" w:w="100"/>
              <w:right w:type="dxa" w:w="160"/>
            </w:tcMar>
          </w:tcPr>
          <w:p>
            <w:r>
              <w:rPr>
                <w:rFonts w:ascii="Calibri" w:cs="Calibri" w:eastAsia="Calibri" w:hAnsi="Calibri"/>
                <w:b/>
                <w:bCs/>
                <w:color w:val="FFFFFF"/>
                <w:spacing w:val="6"/>
                <w:sz w:val="18"/>
                <w:szCs w:val="18"/>
              </w:rPr>
              <w:t xml:space="preserve">Amount</w:t>
            </w:r>
          </w:p>
        </w:tc>
      </w:tr>
      <w:tr>
        <w:tc>
          <w:tcPr>
            <w:tcBorders>
              <w:top w:val="single" w:color="D8DFEE" w:sz="2"/>
              <w:left w:val="none" w:color="FFFFFF" w:sz="0"/>
              <w:bottom w:val="single" w:color="D8DFEE" w:sz="2"/>
              <w:right w:val="none" w:color="FFFFFF" w:sz="0"/>
            </w:tcBorders>
            <w:tcMar>
              <w:top w:type="dxa" w:w="100"/>
              <w:left w:type="dxa" w:w="160"/>
              <w:bottom w:type="dxa" w:w="100"/>
              <w:right w:type="dxa" w:w="160"/>
            </w:tcMar>
          </w:tcPr>
          <w:p>
            <w:pPr>
              <w:jc w:val="left"/>
            </w:pPr>
            <w:r>
              <w:rPr>
                <w:rFonts w:ascii="Calibri" w:cs="Calibri" w:eastAsia="Calibri" w:hAnsi="Calibri"/>
                <w:b/>
                <w:bCs/>
                <w:color w:val="20293B"/>
                <w:sz w:val="19"/>
                <w:szCs w:val="19"/>
              </w:rPr>
              <w:t xml:space="preserve">Cash Withdrawal</w:t>
            </w:r>
          </w:p>
        </w:tc>
        <w:tc>
          <w:tcPr>
            <w:tcBorders>
              <w:top w:val="single" w:color="D8DFEE" w:sz="2"/>
              <w:left w:val="none" w:color="FFFFFF" w:sz="0"/>
              <w:bottom w:val="single" w:color="D8DFEE" w:sz="2"/>
              <w:right w:val="none" w:color="FFFFFF" w:sz="0"/>
            </w:tcBorders>
            <w:tcMar>
              <w:top w:type="dxa" w:w="100"/>
              <w:left w:type="dxa" w:w="160"/>
              <w:bottom w:type="dxa" w:w="100"/>
              <w:right w:type="dxa" w:w="160"/>
            </w:tcMar>
          </w:tcPr>
          <w:p>
            <w:pPr>
              <w:jc w:val="center"/>
            </w:pPr>
            <w:r>
              <w:rPr>
                <w:rFonts w:ascii="Calibri" w:cs="Calibri" w:eastAsia="Calibri" w:hAnsi="Calibri"/>
                <w:b w:val="false"/>
                <w:bCs w:val="false"/>
                <w:color w:val="AD6F17"/>
                <w:sz w:val="19"/>
                <w:szCs w:val="19"/>
              </w:rPr>
              <w:t xml:space="preserve">48.8%</w:t>
            </w:r>
          </w:p>
        </w:tc>
        <w:tc>
          <w:tcPr>
            <w:tcBorders>
              <w:top w:val="single" w:color="D8DFEE" w:sz="2"/>
              <w:left w:val="none" w:color="FFFFFF" w:sz="0"/>
              <w:bottom w:val="single" w:color="D8DFEE" w:sz="2"/>
              <w:right w:val="none" w:color="FFFFFF" w:sz="0"/>
            </w:tcBorders>
            <w:tcMar>
              <w:top w:type="dxa" w:w="100"/>
              <w:left w:type="dxa" w:w="160"/>
              <w:bottom w:type="dxa" w:w="100"/>
              <w:right w:type="dxa" w:w="160"/>
            </w:tcMar>
          </w:tcPr>
          <w:p>
            <w:pPr>
              <w:jc w:val="right"/>
            </w:pPr>
            <w:r>
              <w:rPr>
                <w:rFonts w:ascii="Calibri" w:cs="Calibri" w:eastAsia="Calibri" w:hAnsi="Calibri"/>
                <w:b w:val="false"/>
                <w:bCs w:val="false"/>
                <w:color w:val="20293B"/>
                <w:sz w:val="19"/>
                <w:szCs w:val="19"/>
              </w:rPr>
              <w:t xml:space="preserve">₹18,000</w:t>
            </w:r>
          </w:p>
        </w:tc>
      </w:tr>
      <w:tr>
        <w:tc>
          <w:tcPr>
            <w:tcBorders>
              <w:top w:val="single" w:color="D8DFEE" w:sz="2"/>
              <w:left w:val="none" w:color="FFFFFF" w:sz="0"/>
              <w:bottom w:val="single" w:color="D8DFEE" w:sz="2"/>
              <w:right w:val="none" w:color="FFFFFF" w:sz="0"/>
            </w:tcBorders>
            <w:tcMar>
              <w:top w:type="dxa" w:w="100"/>
              <w:left w:type="dxa" w:w="160"/>
              <w:bottom w:type="dxa" w:w="100"/>
              <w:right w:type="dxa" w:w="160"/>
            </w:tcMar>
          </w:tcPr>
          <w:p>
            <w:pPr>
              <w:jc w:val="left"/>
            </w:pPr>
            <w:r>
              <w:rPr>
                <w:rFonts w:ascii="Calibri" w:cs="Calibri" w:eastAsia="Calibri" w:hAnsi="Calibri"/>
                <w:b/>
                <w:bCs/>
                <w:color w:val="20293B"/>
                <w:sz w:val="19"/>
                <w:szCs w:val="19"/>
              </w:rPr>
              <w:t xml:space="preserve">Medical</w:t>
            </w:r>
          </w:p>
        </w:tc>
        <w:tc>
          <w:tcPr>
            <w:tcBorders>
              <w:top w:val="single" w:color="D8DFEE" w:sz="2"/>
              <w:left w:val="none" w:color="FFFFFF" w:sz="0"/>
              <w:bottom w:val="single" w:color="D8DFEE" w:sz="2"/>
              <w:right w:val="none" w:color="FFFFFF" w:sz="0"/>
            </w:tcBorders>
            <w:tcMar>
              <w:top w:type="dxa" w:w="100"/>
              <w:left w:type="dxa" w:w="160"/>
              <w:bottom w:type="dxa" w:w="100"/>
              <w:right w:type="dxa" w:w="160"/>
            </w:tcMar>
          </w:tcPr>
          <w:p>
            <w:pPr>
              <w:jc w:val="center"/>
            </w:pPr>
            <w:r>
              <w:rPr>
                <w:rFonts w:ascii="Calibri" w:cs="Calibri" w:eastAsia="Calibri" w:hAnsi="Calibri"/>
                <w:b w:val="false"/>
                <w:bCs w:val="false"/>
                <w:color w:val="AD6F17"/>
                <w:sz w:val="19"/>
                <w:szCs w:val="19"/>
              </w:rPr>
              <w:t xml:space="preserve">40.6%</w:t>
            </w:r>
          </w:p>
        </w:tc>
        <w:tc>
          <w:tcPr>
            <w:tcBorders>
              <w:top w:val="single" w:color="D8DFEE" w:sz="2"/>
              <w:left w:val="none" w:color="FFFFFF" w:sz="0"/>
              <w:bottom w:val="single" w:color="D8DFEE" w:sz="2"/>
              <w:right w:val="none" w:color="FFFFFF" w:sz="0"/>
            </w:tcBorders>
            <w:tcMar>
              <w:top w:type="dxa" w:w="100"/>
              <w:left w:type="dxa" w:w="160"/>
              <w:bottom w:type="dxa" w:w="100"/>
              <w:right w:type="dxa" w:w="160"/>
            </w:tcMar>
          </w:tcPr>
          <w:p>
            <w:pPr>
              <w:jc w:val="right"/>
            </w:pPr>
            <w:r>
              <w:rPr>
                <w:rFonts w:ascii="Calibri" w:cs="Calibri" w:eastAsia="Calibri" w:hAnsi="Calibri"/>
                <w:b w:val="false"/>
                <w:bCs w:val="false"/>
                <w:color w:val="20293B"/>
                <w:sz w:val="19"/>
                <w:szCs w:val="19"/>
              </w:rPr>
              <w:t xml:space="preserve">₹15,000</w:t>
            </w:r>
          </w:p>
        </w:tc>
      </w:tr>
      <w:tr>
        <w:tc>
          <w:tcPr>
            <w:tcBorders>
              <w:top w:val="single" w:color="D8DFEE" w:sz="2"/>
              <w:left w:val="none" w:color="FFFFFF" w:sz="0"/>
              <w:bottom w:val="single" w:color="D8DFEE" w:sz="2"/>
              <w:right w:val="none" w:color="FFFFFF" w:sz="0"/>
            </w:tcBorders>
            <w:tcMar>
              <w:top w:type="dxa" w:w="100"/>
              <w:left w:type="dxa" w:w="160"/>
              <w:bottom w:type="dxa" w:w="100"/>
              <w:right w:type="dxa" w:w="160"/>
            </w:tcMar>
          </w:tcPr>
          <w:p>
            <w:pPr>
              <w:jc w:val="left"/>
            </w:pPr>
            <w:r>
              <w:rPr>
                <w:rFonts w:ascii="Calibri" w:cs="Calibri" w:eastAsia="Calibri" w:hAnsi="Calibri"/>
                <w:b/>
                <w:bCs/>
                <w:color w:val="20293B"/>
                <w:sz w:val="19"/>
                <w:szCs w:val="19"/>
              </w:rPr>
              <w:t xml:space="preserve">Food</w:t>
            </w:r>
          </w:p>
        </w:tc>
        <w:tc>
          <w:tcPr>
            <w:tcBorders>
              <w:top w:val="single" w:color="D8DFEE" w:sz="2"/>
              <w:left w:val="none" w:color="FFFFFF" w:sz="0"/>
              <w:bottom w:val="single" w:color="D8DFEE" w:sz="2"/>
              <w:right w:val="none" w:color="FFFFFF" w:sz="0"/>
            </w:tcBorders>
            <w:tcMar>
              <w:top w:type="dxa" w:w="100"/>
              <w:left w:type="dxa" w:w="160"/>
              <w:bottom w:type="dxa" w:w="100"/>
              <w:right w:type="dxa" w:w="160"/>
            </w:tcMar>
          </w:tcPr>
          <w:p>
            <w:pPr>
              <w:jc w:val="center"/>
            </w:pPr>
            <w:r>
              <w:rPr>
                <w:rFonts w:ascii="Calibri" w:cs="Calibri" w:eastAsia="Calibri" w:hAnsi="Calibri"/>
                <w:b w:val="false"/>
                <w:bCs w:val="false"/>
                <w:color w:val="AD6F17"/>
                <w:sz w:val="19"/>
                <w:szCs w:val="19"/>
              </w:rPr>
              <w:t xml:space="preserve">4.4%</w:t>
            </w:r>
          </w:p>
        </w:tc>
        <w:tc>
          <w:tcPr>
            <w:tcBorders>
              <w:top w:val="single" w:color="D8DFEE" w:sz="2"/>
              <w:left w:val="none" w:color="FFFFFF" w:sz="0"/>
              <w:bottom w:val="single" w:color="D8DFEE" w:sz="2"/>
              <w:right w:val="none" w:color="FFFFFF" w:sz="0"/>
            </w:tcBorders>
            <w:tcMar>
              <w:top w:type="dxa" w:w="100"/>
              <w:left w:type="dxa" w:w="160"/>
              <w:bottom w:type="dxa" w:w="100"/>
              <w:right w:type="dxa" w:w="160"/>
            </w:tcMar>
          </w:tcPr>
          <w:p>
            <w:pPr>
              <w:jc w:val="right"/>
            </w:pPr>
            <w:r>
              <w:rPr>
                <w:rFonts w:ascii="Calibri" w:cs="Calibri" w:eastAsia="Calibri" w:hAnsi="Calibri"/>
                <w:b w:val="false"/>
                <w:bCs w:val="false"/>
                <w:color w:val="20293B"/>
                <w:sz w:val="19"/>
                <w:szCs w:val="19"/>
              </w:rPr>
              <w:t xml:space="preserve">₹1,609</w:t>
            </w:r>
          </w:p>
        </w:tc>
      </w:tr>
      <w:tr>
        <w:tc>
          <w:tcPr>
            <w:tcBorders>
              <w:top w:val="single" w:color="D8DFEE" w:sz="2"/>
              <w:left w:val="none" w:color="FFFFFF" w:sz="0"/>
              <w:bottom w:val="single" w:color="D8DFEE" w:sz="2"/>
              <w:right w:val="none" w:color="FFFFFF" w:sz="0"/>
            </w:tcBorders>
            <w:tcMar>
              <w:top w:type="dxa" w:w="100"/>
              <w:left w:type="dxa" w:w="160"/>
              <w:bottom w:type="dxa" w:w="100"/>
              <w:right w:type="dxa" w:w="160"/>
            </w:tcMar>
          </w:tcPr>
          <w:p>
            <w:pPr>
              <w:jc w:val="left"/>
            </w:pPr>
            <w:r>
              <w:rPr>
                <w:rFonts w:ascii="Calibri" w:cs="Calibri" w:eastAsia="Calibri" w:hAnsi="Calibri"/>
                <w:b/>
                <w:bCs/>
                <w:color w:val="20293B"/>
                <w:sz w:val="19"/>
                <w:szCs w:val="19"/>
              </w:rPr>
              <w:t xml:space="preserve">Transport</w:t>
            </w:r>
          </w:p>
        </w:tc>
        <w:tc>
          <w:tcPr>
            <w:tcBorders>
              <w:top w:val="single" w:color="D8DFEE" w:sz="2"/>
              <w:left w:val="none" w:color="FFFFFF" w:sz="0"/>
              <w:bottom w:val="single" w:color="D8DFEE" w:sz="2"/>
              <w:right w:val="none" w:color="FFFFFF" w:sz="0"/>
            </w:tcBorders>
            <w:tcMar>
              <w:top w:type="dxa" w:w="100"/>
              <w:left w:type="dxa" w:w="160"/>
              <w:bottom w:type="dxa" w:w="100"/>
              <w:right w:type="dxa" w:w="160"/>
            </w:tcMar>
          </w:tcPr>
          <w:p>
            <w:pPr>
              <w:jc w:val="center"/>
            </w:pPr>
            <w:r>
              <w:rPr>
                <w:rFonts w:ascii="Calibri" w:cs="Calibri" w:eastAsia="Calibri" w:hAnsi="Calibri"/>
                <w:b w:val="false"/>
                <w:bCs w:val="false"/>
                <w:color w:val="AD6F17"/>
                <w:sz w:val="19"/>
                <w:szCs w:val="19"/>
              </w:rPr>
              <w:t xml:space="preserve">4.2%</w:t>
            </w:r>
          </w:p>
        </w:tc>
        <w:tc>
          <w:tcPr>
            <w:tcBorders>
              <w:top w:val="single" w:color="D8DFEE" w:sz="2"/>
              <w:left w:val="none" w:color="FFFFFF" w:sz="0"/>
              <w:bottom w:val="single" w:color="D8DFEE" w:sz="2"/>
              <w:right w:val="none" w:color="FFFFFF" w:sz="0"/>
            </w:tcBorders>
            <w:tcMar>
              <w:top w:type="dxa" w:w="100"/>
              <w:left w:type="dxa" w:w="160"/>
              <w:bottom w:type="dxa" w:w="100"/>
              <w:right w:type="dxa" w:w="160"/>
            </w:tcMar>
          </w:tcPr>
          <w:p>
            <w:pPr>
              <w:jc w:val="right"/>
            </w:pPr>
            <w:r>
              <w:rPr>
                <w:rFonts w:ascii="Calibri" w:cs="Calibri" w:eastAsia="Calibri" w:hAnsi="Calibri"/>
                <w:b w:val="false"/>
                <w:bCs w:val="false"/>
                <w:color w:val="20293B"/>
                <w:sz w:val="19"/>
                <w:szCs w:val="19"/>
              </w:rPr>
              <w:t xml:space="preserve">₹1,550</w:t>
            </w:r>
          </w:p>
        </w:tc>
      </w:tr>
      <w:tr>
        <w:tc>
          <w:tcPr>
            <w:tcBorders>
              <w:top w:val="single" w:color="D8DFEE" w:sz="2"/>
              <w:left w:val="none" w:color="FFFFFF" w:sz="0"/>
              <w:bottom w:val="single" w:color="D8DFEE" w:sz="2"/>
              <w:right w:val="none" w:color="FFFFFF" w:sz="0"/>
            </w:tcBorders>
            <w:tcMar>
              <w:top w:type="dxa" w:w="100"/>
              <w:left w:type="dxa" w:w="160"/>
              <w:bottom w:type="dxa" w:w="100"/>
              <w:right w:type="dxa" w:w="160"/>
            </w:tcMar>
          </w:tcPr>
          <w:p>
            <w:pPr>
              <w:jc w:val="left"/>
            </w:pPr>
            <w:r>
              <w:rPr>
                <w:rFonts w:ascii="Calibri" w:cs="Calibri" w:eastAsia="Calibri" w:hAnsi="Calibri"/>
                <w:b/>
                <w:bCs/>
                <w:color w:val="20293B"/>
                <w:sz w:val="19"/>
                <w:szCs w:val="19"/>
              </w:rPr>
              <w:t xml:space="preserve">Recharge / Cab / Shopping</w:t>
            </w:r>
          </w:p>
        </w:tc>
        <w:tc>
          <w:tcPr>
            <w:tcBorders>
              <w:top w:val="single" w:color="D8DFEE" w:sz="2"/>
              <w:left w:val="none" w:color="FFFFFF" w:sz="0"/>
              <w:bottom w:val="single" w:color="D8DFEE" w:sz="2"/>
              <w:right w:val="none" w:color="FFFFFF" w:sz="0"/>
            </w:tcBorders>
            <w:tcMar>
              <w:top w:type="dxa" w:w="100"/>
              <w:left w:type="dxa" w:w="160"/>
              <w:bottom w:type="dxa" w:w="100"/>
              <w:right w:type="dxa" w:w="160"/>
            </w:tcMar>
          </w:tcPr>
          <w:p>
            <w:pPr>
              <w:jc w:val="center"/>
            </w:pPr>
            <w:r>
              <w:rPr>
                <w:rFonts w:ascii="Calibri" w:cs="Calibri" w:eastAsia="Calibri" w:hAnsi="Calibri"/>
                <w:b w:val="false"/>
                <w:bCs w:val="false"/>
                <w:color w:val="AD6F17"/>
                <w:sz w:val="19"/>
                <w:szCs w:val="19"/>
              </w:rPr>
              <w:t xml:space="preserve">2.0%</w:t>
            </w:r>
          </w:p>
        </w:tc>
        <w:tc>
          <w:tcPr>
            <w:tcBorders>
              <w:top w:val="single" w:color="D8DFEE" w:sz="2"/>
              <w:left w:val="none" w:color="FFFFFF" w:sz="0"/>
              <w:bottom w:val="single" w:color="D8DFEE" w:sz="2"/>
              <w:right w:val="none" w:color="FFFFFF" w:sz="0"/>
            </w:tcBorders>
            <w:tcMar>
              <w:top w:type="dxa" w:w="100"/>
              <w:left w:type="dxa" w:w="160"/>
              <w:bottom w:type="dxa" w:w="100"/>
              <w:right w:type="dxa" w:w="160"/>
            </w:tcMar>
          </w:tcPr>
          <w:p>
            <w:pPr>
              <w:jc w:val="right"/>
            </w:pPr>
            <w:r>
              <w:rPr>
                <w:rFonts w:ascii="Calibri" w:cs="Calibri" w:eastAsia="Calibri" w:hAnsi="Calibri"/>
                <w:b w:val="false"/>
                <w:bCs w:val="false"/>
                <w:color w:val="20293B"/>
                <w:sz w:val="19"/>
                <w:szCs w:val="19"/>
              </w:rPr>
              <w:t xml:space="preserve">₹754 combined</w:t>
            </w:r>
          </w:p>
        </w:tc>
      </w:tr>
    </w:tbl>
    <w:p>
      <w:pPr>
        <w:spacing w:after="100" w:line="300"/>
        <w:jc w:val="left"/>
      </w:pPr>
      <w:r>
        <w:rPr>
          <w:rFonts w:ascii="Calibri" w:cs="Calibri" w:eastAsia="Calibri" w:hAnsi="Calibri"/>
          <w:i w:val="false"/>
          <w:iCs w:val="false"/>
          <w:color w:val="20293B"/>
          <w:sz w:val="21"/>
          <w:szCs w:val="21"/>
        </w:rPr>
        <w:t xml:space="preserve">In this sample statement, cash withdrawals and medical expenses together account for close to </w:t>
      </w:r>
      <w:r>
        <w:rPr>
          <w:rFonts w:ascii="Calibri" w:cs="Calibri" w:eastAsia="Calibri" w:hAnsi="Calibri"/>
          <w:b/>
          <w:bCs/>
          <w:color w:val="20293B"/>
          <w:sz w:val="21"/>
          <w:szCs w:val="21"/>
        </w:rPr>
        <w:t xml:space="preserve">90%</w:t>
      </w:r>
      <w:r>
        <w:rPr>
          <w:rFonts w:ascii="Calibri" w:cs="Calibri" w:eastAsia="Calibri" w:hAnsi="Calibri"/>
          <w:i w:val="false"/>
          <w:iCs w:val="false"/>
          <w:color w:val="20293B"/>
          <w:sz w:val="21"/>
          <w:szCs w:val="21"/>
        </w:rPr>
        <w:t xml:space="preserve"> of total spending, while everyday categories such as food, transport and recharges make up a much smaller share — the kind of pattern that is easy to state in one sentence once the data is categorized, but would take considerable manual effort to work out from a raw statement.</w:t>
      </w:r>
    </w:p>
    <w:p>
      <w:r>
        <w:br w:type="page"/>
      </w:r>
    </w:p>
    <w:p>
      <w:pPr>
        <w:spacing w:after="80"/>
      </w:pPr>
      <w:r>
        <w:rPr>
          <w:rFonts w:ascii="Calibri" w:cs="Calibri" w:eastAsia="Calibri" w:hAnsi="Calibri"/>
          <w:b/>
          <w:bCs/>
          <w:color w:val="AD6F17"/>
          <w:spacing w:val="20"/>
          <w:sz w:val="19"/>
          <w:szCs w:val="19"/>
        </w:rPr>
        <w:t xml:space="preserve">CHAPTER 7</w:t>
      </w:r>
    </w:p>
    <w:p>
      <w:pPr>
        <w:pBdr>
          <w:bottom w:val="single" w:color="D8DFEE" w:sz="6" w:space="8"/>
        </w:pBdr>
        <w:spacing w:after="260"/>
      </w:pPr>
      <w:r>
        <w:rPr>
          <w:rFonts w:ascii="Cambria" w:cs="Cambria" w:eastAsia="Cambria" w:hAnsi="Cambria"/>
          <w:b/>
          <w:bCs/>
          <w:color w:val="16224D"/>
          <w:sz w:val="34"/>
          <w:szCs w:val="34"/>
        </w:rPr>
        <w:t xml:space="preserve">Results &amp; Conclusion</w:t>
      </w:r>
    </w:p>
    <w:p>
      <w:pPr>
        <w:spacing w:after="180" w:line="300"/>
        <w:jc w:val="left"/>
      </w:pPr>
      <w:r>
        <w:rPr>
          <w:rFonts w:ascii="Calibri" w:cs="Calibri" w:eastAsia="Calibri" w:hAnsi="Calibri"/>
          <w:i w:val="false"/>
          <w:iCs w:val="false"/>
          <w:color w:val="20293B"/>
          <w:sz w:val="21"/>
          <w:szCs w:val="21"/>
        </w:rPr>
        <w:t xml:space="preserve">Across both modules, the completed system meets the objectives set out at the start of this document: it reads real payslips and bank statements, turns them into structured data, and presents a decision or a breakdown that a user can act on immediately.</w:t>
      </w:r>
    </w:p>
    <w:p>
      <w:pPr>
        <w:spacing w:after="140" w:before="200"/>
      </w:pPr>
      <w:r>
        <w:rPr>
          <w:rFonts w:ascii="Cambria" w:cs="Cambria" w:eastAsia="Cambria" w:hAnsi="Cambria"/>
          <w:b/>
          <w:bCs/>
          <w:color w:val="16224D"/>
          <w:sz w:val="24"/>
          <w:szCs w:val="24"/>
        </w:rPr>
        <w:t xml:space="preserve">Key Results</w:t>
      </w:r>
    </w:p>
    <w:p>
      <w:pPr>
        <w:pStyle w:val="ListParagraph"/>
        <w:numPr>
          <w:ilvl w:val="0"/>
          <w:numId w:val="2"/>
        </w:numPr>
        <w:spacing w:after="110" w:line="290"/>
      </w:pPr>
      <w:r>
        <w:rPr>
          <w:rFonts w:ascii="Calibri" w:cs="Calibri" w:eastAsia="Calibri" w:hAnsi="Calibri"/>
          <w:i w:val="false"/>
          <w:iCs w:val="false"/>
          <w:color w:val="20293B"/>
          <w:sz w:val="21"/>
          <w:szCs w:val="21"/>
        </w:rPr>
        <w:t xml:space="preserve">Automated salary component extraction from payslips</w:t>
      </w:r>
    </w:p>
    <w:p>
      <w:pPr>
        <w:pStyle w:val="ListParagraph"/>
        <w:numPr>
          <w:ilvl w:val="0"/>
          <w:numId w:val="2"/>
        </w:numPr>
        <w:spacing w:after="110" w:line="290"/>
      </w:pPr>
      <w:r>
        <w:rPr>
          <w:rFonts w:ascii="Calibri" w:cs="Calibri" w:eastAsia="Calibri" w:hAnsi="Calibri"/>
          <w:i w:val="false"/>
          <w:iCs w:val="false"/>
          <w:color w:val="20293B"/>
          <w:sz w:val="21"/>
          <w:szCs w:val="21"/>
        </w:rPr>
        <w:t xml:space="preserve">Rule-based, instant loan eligibility decisions</w:t>
      </w:r>
    </w:p>
    <w:p>
      <w:pPr>
        <w:pStyle w:val="ListParagraph"/>
        <w:numPr>
          <w:ilvl w:val="0"/>
          <w:numId w:val="2"/>
        </w:numPr>
        <w:spacing w:after="110" w:line="290"/>
      </w:pPr>
      <w:r>
        <w:rPr>
          <w:rFonts w:ascii="Calibri" w:cs="Calibri" w:eastAsia="Calibri" w:hAnsi="Calibri"/>
          <w:i w:val="false"/>
          <w:iCs w:val="false"/>
          <w:color w:val="20293B"/>
          <w:sz w:val="21"/>
          <w:szCs w:val="21"/>
        </w:rPr>
        <w:t xml:space="preserve">BERT-based classification of bank transactions</w:t>
      </w:r>
    </w:p>
    <w:p>
      <w:pPr>
        <w:pStyle w:val="ListParagraph"/>
        <w:numPr>
          <w:ilvl w:val="0"/>
          <w:numId w:val="2"/>
        </w:numPr>
        <w:spacing w:after="110" w:line="290"/>
      </w:pPr>
      <w:r>
        <w:rPr>
          <w:rFonts w:ascii="Calibri" w:cs="Calibri" w:eastAsia="Calibri" w:hAnsi="Calibri"/>
          <w:i w:val="false"/>
          <w:iCs w:val="false"/>
          <w:color w:val="20293B"/>
          <w:sz w:val="21"/>
          <w:szCs w:val="21"/>
        </w:rPr>
        <w:t xml:space="preserve">Clear pie chart &amp; bar plot visual reporting</w:t>
      </w:r>
    </w:p>
    <w:p>
      <w:pPr>
        <w:pStyle w:val="ListParagraph"/>
        <w:numPr>
          <w:ilvl w:val="0"/>
          <w:numId w:val="2"/>
        </w:numPr>
        <w:spacing w:after="110" w:line="290"/>
      </w:pPr>
      <w:r>
        <w:rPr>
          <w:rFonts w:ascii="Calibri" w:cs="Calibri" w:eastAsia="Calibri" w:hAnsi="Calibri"/>
          <w:i w:val="false"/>
          <w:iCs w:val="false"/>
          <w:color w:val="20293B"/>
          <w:sz w:val="21"/>
          <w:szCs w:val="21"/>
        </w:rPr>
        <w:t xml:space="preserve">Secure, login-protected multi-module dashboard</w:t>
      </w:r>
    </w:p>
    <w:p>
      <w:pPr>
        <w:spacing w:after="140" w:before="200"/>
      </w:pPr>
      <w:r>
        <w:rPr>
          <w:rFonts w:ascii="Cambria" w:cs="Cambria" w:eastAsia="Cambria" w:hAnsi="Cambria"/>
          <w:b/>
          <w:bCs/>
          <w:color w:val="16224D"/>
          <w:sz w:val="24"/>
          <w:szCs w:val="24"/>
        </w:rPr>
        <w:t xml:space="preserve">Conclusion</w:t>
      </w:r>
    </w:p>
    <w:p>
      <w:pPr>
        <w:spacing w:after="180" w:line="300"/>
        <w:jc w:val="left"/>
      </w:pPr>
      <w:r>
        <w:rPr>
          <w:rFonts w:ascii="Calibri" w:cs="Calibri" w:eastAsia="Calibri" w:hAnsi="Calibri"/>
          <w:b/>
          <w:bCs/>
          <w:color w:val="20293B"/>
          <w:sz w:val="21"/>
          <w:szCs w:val="21"/>
        </w:rPr>
        <w:t xml:space="preserve">AI Financial Analyzer</w:t>
      </w:r>
      <w:r>
        <w:rPr>
          <w:rFonts w:ascii="Calibri" w:cs="Calibri" w:eastAsia="Calibri" w:hAnsi="Calibri"/>
          <w:i w:val="false"/>
          <w:iCs w:val="false"/>
          <w:color w:val="20293B"/>
          <w:sz w:val="21"/>
          <w:szCs w:val="21"/>
        </w:rPr>
        <w:t xml:space="preserve"> successfully brings payslip-based loan eligibility assessment and BERT-driven expense categorization together into one secure, visual, and easy-to-use platform. By replacing slow, manual document review with instant, rule-based decisions and machine-learning-powered classification, the system delivers faster and more consistent financial insight than a manual process ever could — while remaining simple enough for any user to operate without financial expertise.</w:t>
      </w:r>
    </w:p>
    <w:p>
      <w:pPr>
        <w:spacing w:after="100" w:line="300"/>
        <w:jc w:val="left"/>
      </w:pPr>
      <w:r>
        <w:rPr>
          <w:rFonts w:ascii="Calibri" w:cs="Calibri" w:eastAsia="Calibri" w:hAnsi="Calibri"/>
          <w:i w:val="false"/>
          <w:iCs w:val="false"/>
          <w:color w:val="20293B"/>
          <w:sz w:val="21"/>
          <w:szCs w:val="21"/>
        </w:rPr>
        <w:t xml:space="preserve">As a piece of internship work, the project also demonstrates practical experience across the full stack of a real product — document parsing, rule-engine design, applied NLP with a transformer model, backend development, and data visualization — brought together into one coherent, working application.</w:t>
      </w:r>
    </w:p>
    <w:p>
      <w:r>
        <w:br w:type="page"/>
      </w:r>
    </w:p>
    <w:p>
      <w:pPr>
        <w:spacing w:after="80"/>
      </w:pPr>
      <w:r>
        <w:rPr>
          <w:rFonts w:ascii="Calibri" w:cs="Calibri" w:eastAsia="Calibri" w:hAnsi="Calibri"/>
          <w:b/>
          <w:bCs/>
          <w:color w:val="AD6F17"/>
          <w:spacing w:val="20"/>
          <w:sz w:val="19"/>
          <w:szCs w:val="19"/>
        </w:rPr>
        <w:t xml:space="preserve">CHAPTER 8</w:t>
      </w:r>
    </w:p>
    <w:p>
      <w:pPr>
        <w:pBdr>
          <w:bottom w:val="single" w:color="D8DFEE" w:sz="6" w:space="8"/>
        </w:pBdr>
        <w:spacing w:after="260"/>
      </w:pPr>
      <w:r>
        <w:rPr>
          <w:rFonts w:ascii="Cambria" w:cs="Cambria" w:eastAsia="Cambria" w:hAnsi="Cambria"/>
          <w:b/>
          <w:bCs/>
          <w:color w:val="16224D"/>
          <w:sz w:val="34"/>
          <w:szCs w:val="34"/>
        </w:rPr>
        <w:t xml:space="preserve">Future Scope &amp; References</w:t>
      </w:r>
    </w:p>
    <w:p>
      <w:pPr>
        <w:spacing w:after="200" w:line="300"/>
        <w:jc w:val="left"/>
      </w:pPr>
      <w:r>
        <w:rPr>
          <w:rFonts w:ascii="Calibri" w:cs="Calibri" w:eastAsia="Calibri" w:hAnsi="Calibri"/>
          <w:i w:val="false"/>
          <w:iCs w:val="false"/>
          <w:color w:val="20293B"/>
          <w:sz w:val="21"/>
          <w:szCs w:val="21"/>
        </w:rPr>
        <w:t xml:space="preserve">The current release deliberately covers a focused, working core rather than every possible feature. The scope defined in Chapter 1 leaves several natural directions open for future development, listed below in roughly the order they would add the most value.</w:t>
      </w:r>
    </w:p>
    <w:p>
      <w:pPr>
        <w:spacing w:after="140" w:before="200"/>
      </w:pPr>
      <w:r>
        <w:rPr>
          <w:rFonts w:ascii="Cambria" w:cs="Cambria" w:eastAsia="Cambria" w:hAnsi="Cambria"/>
          <w:b/>
          <w:bCs/>
          <w:color w:val="16224D"/>
          <w:sz w:val="24"/>
          <w:szCs w:val="24"/>
        </w:rPr>
        <w:t xml:space="preserve">Future Scope</w:t>
      </w:r>
    </w:p>
    <w:p>
      <w:pPr>
        <w:pStyle w:val="ListParagraph"/>
        <w:numPr>
          <w:ilvl w:val="0"/>
          <w:numId w:val="2"/>
        </w:numPr>
        <w:spacing w:after="110" w:line="290"/>
      </w:pPr>
      <w:r>
        <w:rPr>
          <w:rFonts w:ascii="Calibri" w:cs="Calibri" w:eastAsia="Calibri" w:hAnsi="Calibri"/>
          <w:i w:val="false"/>
          <w:iCs w:val="false"/>
          <w:color w:val="20293B"/>
          <w:sz w:val="21"/>
          <w:szCs w:val="21"/>
        </w:rPr>
        <w:t xml:space="preserve">Multi-bank statement format support — handle statements from a wider range of banks and layouts</w:t>
      </w:r>
    </w:p>
    <w:p>
      <w:pPr>
        <w:pStyle w:val="ListParagraph"/>
        <w:numPr>
          <w:ilvl w:val="0"/>
          <w:numId w:val="2"/>
        </w:numPr>
        <w:spacing w:after="110" w:line="290"/>
      </w:pPr>
      <w:r>
        <w:rPr>
          <w:rFonts w:ascii="Calibri" w:cs="Calibri" w:eastAsia="Calibri" w:hAnsi="Calibri"/>
          <w:i w:val="false"/>
          <w:iCs w:val="false"/>
          <w:color w:val="20293B"/>
          <w:sz w:val="21"/>
          <w:szCs w:val="21"/>
        </w:rPr>
        <w:t xml:space="preserve">Expense prediction using AI trend analysis — forecast next month's spending from historical categories</w:t>
      </w:r>
    </w:p>
    <w:p>
      <w:pPr>
        <w:pStyle w:val="ListParagraph"/>
        <w:numPr>
          <w:ilvl w:val="0"/>
          <w:numId w:val="2"/>
        </w:numPr>
        <w:spacing w:after="110" w:line="290"/>
      </w:pPr>
      <w:r>
        <w:rPr>
          <w:rFonts w:ascii="Calibri" w:cs="Calibri" w:eastAsia="Calibri" w:hAnsi="Calibri"/>
          <w:i w:val="false"/>
          <w:iCs w:val="false"/>
          <w:color w:val="20293B"/>
          <w:sz w:val="21"/>
          <w:szCs w:val="21"/>
        </w:rPr>
        <w:t xml:space="preserve">Budget recommendation system — suggest category-wise spending limits based on past behaviour</w:t>
      </w:r>
    </w:p>
    <w:p>
      <w:pPr>
        <w:pStyle w:val="ListParagraph"/>
        <w:numPr>
          <w:ilvl w:val="0"/>
          <w:numId w:val="2"/>
        </w:numPr>
        <w:spacing w:after="110" w:line="290"/>
      </w:pPr>
      <w:r>
        <w:rPr>
          <w:rFonts w:ascii="Calibri" w:cs="Calibri" w:eastAsia="Calibri" w:hAnsi="Calibri"/>
          <w:i w:val="false"/>
          <w:iCs w:val="false"/>
          <w:color w:val="20293B"/>
          <w:sz w:val="21"/>
          <w:szCs w:val="21"/>
        </w:rPr>
        <w:t xml:space="preserve">Mobile application version — bring both modules to Android and iOS</w:t>
      </w:r>
    </w:p>
    <w:p>
      <w:pPr>
        <w:pStyle w:val="ListParagraph"/>
        <w:numPr>
          <w:ilvl w:val="0"/>
          <w:numId w:val="2"/>
        </w:numPr>
        <w:spacing w:after="110" w:line="290"/>
      </w:pPr>
      <w:r>
        <w:rPr>
          <w:rFonts w:ascii="Calibri" w:cs="Calibri" w:eastAsia="Calibri" w:hAnsi="Calibri"/>
          <w:i w:val="false"/>
          <w:iCs w:val="false"/>
          <w:color w:val="20293B"/>
          <w:sz w:val="21"/>
          <w:szCs w:val="21"/>
        </w:rPr>
        <w:t xml:space="preserve">Cloud database integration for history &amp; reports — let users track eligibility and spending over time</w:t>
      </w:r>
    </w:p>
    <w:p>
      <w:pPr>
        <w:spacing w:after="140" w:before="200"/>
      </w:pPr>
      <w:r>
        <w:rPr>
          <w:rFonts w:ascii="Cambria" w:cs="Cambria" w:eastAsia="Cambria" w:hAnsi="Cambria"/>
          <w:b/>
          <w:bCs/>
          <w:color w:val="16224D"/>
          <w:sz w:val="24"/>
          <w:szCs w:val="24"/>
        </w:rPr>
        <w:t xml:space="preserve">References</w:t>
      </w:r>
    </w:p>
    <w:p>
      <w:pPr>
        <w:pStyle w:val="ListParagraph"/>
        <w:numPr>
          <w:ilvl w:val="0"/>
          <w:numId w:val="2"/>
        </w:numPr>
        <w:spacing w:after="110" w:line="290"/>
      </w:pPr>
      <w:r>
        <w:rPr>
          <w:rFonts w:ascii="Calibri" w:cs="Calibri" w:eastAsia="Calibri" w:hAnsi="Calibri"/>
          <w:i w:val="false"/>
          <w:iCs w:val="false"/>
          <w:color w:val="20293B"/>
          <w:sz w:val="21"/>
          <w:szCs w:val="21"/>
        </w:rPr>
        <w:t xml:space="preserve">Devlin, J. et al. – BERT: Pre-training of Deep Bidirectional Transformers for Language Understanding.</w:t>
      </w:r>
    </w:p>
    <w:p>
      <w:pPr>
        <w:pStyle w:val="ListParagraph"/>
        <w:numPr>
          <w:ilvl w:val="0"/>
          <w:numId w:val="2"/>
        </w:numPr>
        <w:spacing w:after="110" w:line="290"/>
      </w:pPr>
      <w:r>
        <w:rPr>
          <w:rFonts w:ascii="Calibri" w:cs="Calibri" w:eastAsia="Calibri" w:hAnsi="Calibri"/>
          <w:i w:val="false"/>
          <w:iCs w:val="false"/>
          <w:color w:val="20293B"/>
          <w:sz w:val="21"/>
          <w:szCs w:val="21"/>
        </w:rPr>
        <w:t xml:space="preserve">Flask Documentation – flask.palletsprojects.com</w:t>
      </w:r>
    </w:p>
    <w:p>
      <w:pPr>
        <w:pStyle w:val="ListParagraph"/>
        <w:numPr>
          <w:ilvl w:val="0"/>
          <w:numId w:val="2"/>
        </w:numPr>
        <w:spacing w:after="110" w:line="290"/>
      </w:pPr>
      <w:r>
        <w:rPr>
          <w:rFonts w:ascii="Calibri" w:cs="Calibri" w:eastAsia="Calibri" w:hAnsi="Calibri"/>
          <w:i w:val="false"/>
          <w:iCs w:val="false"/>
          <w:color w:val="20293B"/>
          <w:sz w:val="21"/>
          <w:szCs w:val="21"/>
        </w:rPr>
        <w:t xml:space="preserve">Hugging Face Transformers Documentation – huggingface.co/docs/transformers</w:t>
      </w:r>
    </w:p>
    <w:p>
      <w:pPr>
        <w:pStyle w:val="ListParagraph"/>
        <w:numPr>
          <w:ilvl w:val="0"/>
          <w:numId w:val="2"/>
        </w:numPr>
        <w:spacing w:after="110" w:line="290"/>
      </w:pPr>
      <w:r>
        <w:rPr>
          <w:rFonts w:ascii="Calibri" w:cs="Calibri" w:eastAsia="Calibri" w:hAnsi="Calibri"/>
          <w:i w:val="false"/>
          <w:iCs w:val="false"/>
          <w:color w:val="20293B"/>
          <w:sz w:val="21"/>
          <w:szCs w:val="21"/>
        </w:rPr>
        <w:t xml:space="preserve">Matplotlib Documentation – matplotlib.org</w:t>
      </w:r>
    </w:p>
    <w:p>
      <w:pPr>
        <w:pStyle w:val="ListParagraph"/>
        <w:numPr>
          <w:ilvl w:val="0"/>
          <w:numId w:val="2"/>
        </w:numPr>
        <w:spacing w:after="110" w:line="290"/>
      </w:pPr>
      <w:r>
        <w:rPr>
          <w:rFonts w:ascii="Calibri" w:cs="Calibri" w:eastAsia="Calibri" w:hAnsi="Calibri"/>
          <w:i w:val="false"/>
          <w:iCs w:val="false"/>
          <w:color w:val="20293B"/>
          <w:sz w:val="21"/>
          <w:szCs w:val="21"/>
        </w:rPr>
        <w:t xml:space="preserve">Tesseract OCR Documentation – github.com/tesseract-ocr/tesseract</w:t>
      </w:r>
    </w:p>
    <w:p>
      <w:pPr>
        <w:spacing w:after="0" w:line="300"/>
        <w:jc w:val="left"/>
      </w:pPr>
      <w:r>
        <w:rPr>
          <w:rFonts w:ascii="Calibri" w:cs="Calibri" w:eastAsia="Calibri" w:hAnsi="Calibri"/>
          <w:i w:val="false"/>
          <w:iCs w:val="false"/>
          <w:color w:val="20293B"/>
          <w:sz w:val="21"/>
          <w:szCs w:val="21"/>
        </w:rPr>
        <w:t xml:space="preserve">This concludes the Project Development Document for </w:t>
      </w:r>
      <w:r>
        <w:rPr>
          <w:rFonts w:ascii="Calibri" w:cs="Calibri" w:eastAsia="Calibri" w:hAnsi="Calibri"/>
          <w:b/>
          <w:bCs/>
          <w:color w:val="20293B"/>
          <w:sz w:val="21"/>
          <w:szCs w:val="21"/>
        </w:rPr>
        <w:t xml:space="preserve">AI Financial Analyzer</w:t>
      </w:r>
      <w:r>
        <w:rPr>
          <w:rFonts w:ascii="Calibri" w:cs="Calibri" w:eastAsia="Calibri" w:hAnsi="Calibri"/>
          <w:i w:val="false"/>
          <w:iCs w:val="false"/>
          <w:color w:val="20293B"/>
          <w:sz w:val="21"/>
          <w:szCs w:val="21"/>
        </w:rPr>
        <w:t xml:space="preserve">, prepared as part of the internship at </w:t>
      </w:r>
      <w:r>
        <w:rPr>
          <w:rFonts w:ascii="Calibri" w:cs="Calibri" w:eastAsia="Calibri" w:hAnsi="Calibri"/>
          <w:b/>
          <w:bCs/>
          <w:color w:val="20293B"/>
          <w:sz w:val="21"/>
          <w:szCs w:val="21"/>
        </w:rPr>
        <w:t xml:space="preserve">Kognitive</w:t>
      </w:r>
      <w:r>
        <w:rPr>
          <w:rFonts w:ascii="Calibri" w:cs="Calibri" w:eastAsia="Calibri" w:hAnsi="Calibri"/>
          <w:i w:val="false"/>
          <w:iCs w:val="false"/>
          <w:color w:val="20293B"/>
          <w:sz w:val="21"/>
          <w:szCs w:val="21"/>
        </w:rPr>
        <w:t xml:space="preserve"> under the guidance of </w:t>
      </w:r>
      <w:r>
        <w:rPr>
          <w:rFonts w:ascii="Calibri" w:cs="Calibri" w:eastAsia="Calibri" w:hAnsi="Calibri"/>
          <w:b/>
          <w:bCs/>
          <w:color w:val="20293B"/>
          <w:sz w:val="21"/>
          <w:szCs w:val="21"/>
        </w:rPr>
        <w:t xml:space="preserve">Bikash Bej</w:t>
      </w:r>
      <w:r>
        <w:rPr>
          <w:rFonts w:ascii="Calibri" w:cs="Calibri" w:eastAsia="Calibri" w:hAnsi="Calibri"/>
          <w:i w:val="false"/>
          <w:iCs w:val="false"/>
          <w:color w:val="20293B"/>
          <w:sz w:val="21"/>
          <w:szCs w:val="21"/>
        </w:rPr>
        <w:t xml:space="preserve">.</w:t>
      </w:r>
    </w:p>
    <w:sectPr>
      <w:headerReference w:type="default" r:id="rId7"/>
      <w:footerReference w:type="default" r:id="rId8"/>
      <w:pgSz w:w="11906" w:h="16838" w:orient="portrait"/>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FEE" w:sz="4" w:space="6"/>
      </w:pBdr>
      <w:tabs>
        <w:tab w:val="right" w:pos="9026"/>
      </w:tabs>
    </w:pPr>
    <w:r>
      <w:rPr>
        <w:rFonts w:ascii="Calibri" w:cs="Calibri" w:eastAsia="Calibri" w:hAnsi="Calibri"/>
        <w:color w:val="5B6472"/>
        <w:sz w:val="16"/>
        <w:szCs w:val="16"/>
      </w:rPr>
      <w:t xml:space="preserve">Kognitive Internship · 2026</w:t>
    </w:r>
    <w:r>
      <w:rPr>
        <w:rFonts w:ascii="Calibri" w:cs="Calibri" w:eastAsia="Calibri" w:hAnsi="Calibri"/>
        <w:sz w:val="16"/>
        <w:szCs w:val="16"/>
      </w:rPr>
      <w:t xml:space="preserve">	</w:t>
    </w:r>
    <w:r>
      <w:rPr>
        <w:rFonts w:ascii="Calibri" w:cs="Calibri" w:eastAsia="Calibri" w:hAnsi="Calibri"/>
        <w:color w:val="5B6472"/>
        <w:sz w:val="16"/>
        <w:szCs w:val="16"/>
      </w:rPr>
      <w:t xml:space="preserve">Page </w:t>
    </w:r>
    <w:r>
      <w:rPr>
        <w:rFonts w:ascii="Calibri" w:cs="Calibri" w:eastAsia="Calibri" w:hAnsi="Calibri"/>
        <w:color w:val="5B64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FEE" w:sz="4" w:space="6"/>
      </w:pBdr>
      <w:tabs>
        <w:tab w:val="right" w:pos="9026"/>
      </w:tabs>
    </w:pPr>
    <w:r>
      <w:rPr>
        <w:rFonts w:ascii="Calibri" w:cs="Calibri" w:eastAsia="Calibri" w:hAnsi="Calibri"/>
        <w:b/>
        <w:bCs/>
        <w:color w:val="16224D"/>
        <w:sz w:val="16"/>
        <w:szCs w:val="16"/>
      </w:rPr>
      <w:t xml:space="preserve">AI Financial Analyzer</w:t>
    </w:r>
    <w:r>
      <w:rPr>
        <w:rFonts w:ascii="Calibri" w:cs="Calibri" w:eastAsia="Calibri" w:hAnsi="Calibri"/>
        <w:color w:val="5B6472"/>
        <w:sz w:val="16"/>
        <w:szCs w:val="16"/>
      </w:rPr>
      <w:t xml:space="preserve">	Project Development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rPr>
        <w:color w:val="AD6F17"/>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d067477fb98275c4aca17a424f8df2d35563eaf.png"/><Relationship Id="rId10" Type="http://schemas.openxmlformats.org/officeDocument/2006/relationships/image" Target="media/a29bf3d52217e82f1ed60550a7bd0f382dc160c9.png"/><Relationship Id="rId11" Type="http://schemas.openxmlformats.org/officeDocument/2006/relationships/image" Target="media/8c7dde07a65c16c8407546d290008d5cc316c187.png"/><Relationship Id="rId12" Type="http://schemas.openxmlformats.org/officeDocument/2006/relationships/image" Target="media/cc2b74b657b8aae8a37ae85674a6b18d352def9a.png"/><Relationship Id="rId13" Type="http://schemas.openxmlformats.org/officeDocument/2006/relationships/image" Target="media/4f2e560ee0a6553ee8a91d2aa999b6d1b24693b6.png"/><Relationship Id="rId14" Type="http://schemas.openxmlformats.org/officeDocument/2006/relationships/image" Target="media/ca522c73dbbf177e764e748131c8f01a75247221.png"/><Relationship Id="rId15" Type="http://schemas.openxmlformats.org/officeDocument/2006/relationships/image" Target="media/57042b95cda529aee38f13b3b62696174cb30406.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2026-07-14T08:55:50.549Z</dcterms:created>
  <dcterms:modified xsi:type="dcterms:W3CDTF">2026-07-14T08:55:50.560Z</dcterms:modified>
</cp:coreProperties>
</file>

<file path=docProps/custom.xml><?xml version="1.0" encoding="utf-8"?>
<Properties xmlns="http://schemas.openxmlformats.org/officeDocument/2006/custom-properties" xmlns:vt="http://schemas.openxmlformats.org/officeDocument/2006/docPropsVTypes"/>
</file>