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</w:pPr>
      <w:r>
        <w:rPr>
          <w:b/>
          <w:bCs/>
        </w:rPr>
        <w:t xml:space="preserve">Active Exceptions on LD Policies — Dashboard</w:t>
      </w:r>
    </w:p>
    <w:p>
      <w:pPr>
        <w:spacing w:after="300"/>
      </w:pPr>
      <w:r>
        <w:rPr>
          <w:i/>
          <w:iCs/>
          <w:color w:val="666666"/>
        </w:rPr>
        <w:t xml:space="preserve">Sentry | Deloitte</w:t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1.  Global Filters</w:t>
      </w:r>
    </w:p>
    <w:p>
      <w:pPr>
        <w:spacing w:after="200" w:before="100"/>
        <w:jc w:val="left"/>
      </w:pPr>
      <w:r>
        <w:drawing>
          <wp:inline distT="0" distB="0" distL="0" distR="0">
            <wp:extent cx="5715000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Allow users to slice the dashboard by CMS, Cloud Service Provider, Guardrail, Account ID, Approval ID, Exception Status, Guardrail Layer, and Exception Expiring In.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Apply selected filter values as global WHERE conditions across all visuals on the dashboard.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Shows the filter control bar with default value = All for every field.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a persistent "Applied Filters" summary chip row beneath the filter bar so users can see active selections without opening each dropdown.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2.  Total Exceptions</w:t>
      </w:r>
    </w:p>
    <w:p>
      <w:pPr>
        <w:spacing w:after="200" w:before="100"/>
        <w:jc w:val="left"/>
      </w:pPr>
      <w:r>
        <w:drawing>
          <wp:inline distT="0" distB="0" distL="0" distR="0">
            <wp:extent cx="2857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the overall count of exceptions raised against LD Policies, regardless of status.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(distinct) across all Exception records.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Total Exceptions = 527.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a small trend arrow/sparkline showing change vs. prior period.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3.  Active Exceptions</w:t>
      </w:r>
    </w:p>
    <w:p>
      <w:pPr>
        <w:spacing w:after="200" w:before="100"/>
        <w:jc w:val="left"/>
      </w:pPr>
      <w:r>
        <w:drawing>
          <wp:inline distT="0" distB="0" distL="0" distR="0">
            <wp:extent cx="2857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how many of the total exceptions are currently in Active status.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where Exception_Status = Active.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Active = 219.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Make the card clickable to cross-filter the Exception Details table to Active rows only.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4.  Expired Exceptions</w:t>
      </w:r>
    </w:p>
    <w:p>
      <w:pPr>
        <w:spacing w:after="200" w:before="100"/>
        <w:jc w:val="left"/>
      </w:pPr>
      <w:r>
        <w:drawing>
          <wp:inline distT="0" distB="0" distL="0" distR="0">
            <wp:extent cx="2857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how many exceptions have passed their End Date.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where Exception_Status = Expired.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Expired = 308.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Rename to "Expired Exceptions" for parity with the Active card, and add a tooltip explaining expiry logic.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5.  Expiring Soon</w:t>
      </w:r>
    </w:p>
    <w:p>
      <w:pPr>
        <w:spacing w:after="200" w:before="100"/>
        <w:jc w:val="left"/>
      </w:pPr>
      <w:r>
        <w:drawing>
          <wp:inline distT="0" distB="0" distL="0" distR="0">
            <wp:extent cx="2857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Give an early warning of exceptions that will expire within the selected lookahead window.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where Exception_Status = Active and End_Date is within N days of today.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Expiring Soon = 24.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Expose the lookahead window (currently an info icon) as an editable parameter directly on the card.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6.  Accounts with Active Exceptions</w:t>
      </w:r>
    </w:p>
    <w:p>
      <w:pPr>
        <w:spacing w:after="200" w:before="100"/>
        <w:jc w:val="left"/>
      </w:pPr>
      <w:r>
        <w:drawing>
          <wp:inline distT="0" distB="0" distL="0" distR="0">
            <wp:extent cx="2857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the number of distinct cloud accounts that carry at least one Active exception.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distinct Account_ID where Exception_Status = Active.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Accounts with Active Exceptions = 8.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a breakdown by Cloud Service Provider (AWS/Azure/GCP) on hover.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7.  Guardrails with Active Exceptions</w:t>
      </w:r>
    </w:p>
    <w:p>
      <w:pPr>
        <w:spacing w:after="200" w:before="100"/>
        <w:jc w:val="left"/>
      </w:pPr>
      <w:r>
        <w:drawing>
          <wp:inline distT="0" distB="0" distL="0" distR="0">
            <wp:extent cx="2857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the number of distinct guardrails (LD policies) that have at least one Active exception.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distinct Guardrail/CSB_ID where Exception_Status = Active.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Guardrails with Active Exceptions = 40.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Split by Guardrail Layer so users can see which layer (e.g., LD Guardrail) is most exception-heavy.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8.  Active Exceptions Breakdown</w:t>
      </w:r>
    </w:p>
    <w:p>
      <w:pPr>
        <w:spacing w:after="200" w:before="100"/>
        <w:jc w:val="left"/>
      </w:pPr>
      <w:r>
        <w:drawing>
          <wp:inline distT="0" distB="0" distL="0" distR="0">
            <wp:extent cx="3619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the split of active exceptions by Cloud Service Provider.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grouped by Cloud_Service_Provider where Exception_Status = Active.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AWS = 443 (84.06%), Azure/GCP = 73 (13.85%), center total = 527.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Label the small GCP slice directly on the chart instead of relying only on the legend, since it is easy to miss at this size.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9.  Expiring Exceptions By Month</w:t>
      </w:r>
    </w:p>
    <w:p>
      <w:pPr>
        <w:spacing w:after="200" w:before="100"/>
        <w:jc w:val="left"/>
      </w:pPr>
      <w:r>
        <w:drawing>
          <wp:inline distT="0" distB="0" distL="0" distR="0">
            <wp:extent cx="3619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the forward-looking volume of exceptions expiring each month so teams can plan renewals.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grouped by month of End_Date, for the next 12 months (Jan 2026–Nov 2026).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Monthly counts ranging from 2 (Feb 2026) to 17 (Jul 2026).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data labels on each point and a reference line for the current month.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10.  Active Exceptions By Guardrails</w:t>
      </w:r>
    </w:p>
    <w:p>
      <w:pPr>
        <w:spacing w:after="200" w:before="100"/>
        <w:jc w:val="left"/>
      </w:pPr>
      <w:r>
        <w:drawing>
          <wp:inline distT="0" distB="0" distL="0" distR="0">
            <wp:extent cx="36195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Rank guardrails by their number of Active exceptions to surface the riskiest policies.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grouped by CSB_ID/Guardrail and Layer, where Exception_Status = Active, sorted descending.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Top rows: CSB_0019 (58), CSB_0113 (52), CSB_0008 (30), CSB_0450 (14), CSB_0709 (9) — all High severity except CSB_0709 (Medium).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conditional-formatting color to the Severity column (e.g., red for High) for faster scanning.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11.  Exception Details</w:t>
      </w:r>
    </w:p>
    <w:p>
      <w:pPr>
        <w:spacing w:after="200" w:before="100"/>
        <w:jc w:val="left"/>
      </w:pPr>
      <w:r>
        <w:drawing>
          <wp:inline distT="0" distB="0" distL="0" distR="0">
            <wp:extent cx="5905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Provide row-level detail for every exception so analysts can audit individual approvals.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List Approval_ID, Account_ID, Guardrail, Cloud_Provider, Cloud_Service, Exception_Status, Start_Date, End_Date, requestorId, and Severity for all records matching the active filters.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Table currently shows AWS-based Active exceptions across Identity and Access, Virtual Private Cloud, and other services, requested primarily by sjudson@deloitte.com and rgillespie@deloitte.com.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Flag rows with End_Date far in the future (e.g., 2099-12-02, 2122-06-05) as "No Expiry / Needs Review" since these look like placeholder dates rather than real expirations.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400"/>
      </w:pPr>
      <w:r>
        <w:rPr>
          <w:b/>
          <w:bCs/>
          <w:sz w:val="26"/>
          <w:szCs w:val="26"/>
        </w:rPr>
        <w:t xml:space="preserve">12.  Active Exceptions by Asset Class</w:t>
      </w:r>
    </w:p>
    <w:p>
      <w:pPr>
        <w:spacing w:after="200" w:before="100"/>
        <w:jc w:val="left"/>
      </w:pPr>
      <w:r>
        <w:drawing>
          <wp:inline distT="0" distB="0" distL="0" distR="0">
            <wp:extent cx="3619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which asset classes carry the most Active exceptions.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Approval_ID grouped by Asset_Class where Exception_Status = Active, sorted descending.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Public Access (~163) and Network Security (~120) are the largest categories, followed by Encryption (~68), Identity &amp; Access Management (~45), Security Logging (17), and Platform (11).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Move this chart next to "Active Exceptions By Guardrails" so severity and asset-class risk can be compared side by side.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047c1922dfd2da5c6c996b7dde5c3d271f12f4.png"/><Relationship Id="rId8" Type="http://schemas.openxmlformats.org/officeDocument/2006/relationships/image" Target="media/1e76a00875d9cebbc7a920171edf3427f06d689a.png"/><Relationship Id="rId9" Type="http://schemas.openxmlformats.org/officeDocument/2006/relationships/image" Target="media/0fd91dee09e475827a9a3dee4176fc62547dd395.png"/><Relationship Id="rId10" Type="http://schemas.openxmlformats.org/officeDocument/2006/relationships/image" Target="media/d55f1a7825d1293358d78b53f4a3f974df220dab.png"/><Relationship Id="rId11" Type="http://schemas.openxmlformats.org/officeDocument/2006/relationships/image" Target="media/8755f38a92c55dd83880460d1d4ed3aae6361e26.png"/><Relationship Id="rId12" Type="http://schemas.openxmlformats.org/officeDocument/2006/relationships/image" Target="media/294acb55259ac766dfe3081841db185a33f782e8.png"/><Relationship Id="rId13" Type="http://schemas.openxmlformats.org/officeDocument/2006/relationships/image" Target="media/4ba7f3f2e489331ceffb09203ef386aca3702f36.png"/><Relationship Id="rId14" Type="http://schemas.openxmlformats.org/officeDocument/2006/relationships/image" Target="media/64c31a6be8869e697e2a3c6cfe2a42b44881e22d.png"/><Relationship Id="rId15" Type="http://schemas.openxmlformats.org/officeDocument/2006/relationships/image" Target="media/944812481600752dc8f42ac2408d0cb43d2b6c79.png"/><Relationship Id="rId16" Type="http://schemas.openxmlformats.org/officeDocument/2006/relationships/image" Target="media/20499d13b6a38b74bb9d73fef36bd53f8620c2b7.png"/><Relationship Id="rId17" Type="http://schemas.openxmlformats.org/officeDocument/2006/relationships/image" Target="media/bb3ad7839c905318812b839ff0f30b4b667330a6.png"/><Relationship Id="rId18" Type="http://schemas.openxmlformats.org/officeDocument/2006/relationships/image" Target="media/5ddd56ee9c406f10ead35275b0a8719be4ebe80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2026-07-29T10:04:50.349Z</dcterms:created>
  <dcterms:modified xsi:type="dcterms:W3CDTF">2026-07-29T10:04:50.363Z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