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0F2043"/>
          <w:sz w:val="44"/>
        </w:rPr>
        <w:t>Power BI Security Dashboards: Design &amp; UX Assessment Report</w:t>
      </w:r>
    </w:p>
    <w:p>
      <w:pPr>
        <w:spacing w:after="400"/>
      </w:pPr>
      <w:r>
        <w:rPr>
          <w:i/>
          <w:color w:val="006699"/>
          <w:sz w:val="22"/>
        </w:rPr>
        <w:t>Comprehensive Issue, Impact, and Recommended Action Analysis Across Executive, Security, Exception, Guardrail Catalog, and Operational Dashboards</w:t>
      </w:r>
    </w:p>
    <w:p>
      <w:pPr>
        <w:spacing w:after="320"/>
        <w:pBdr>
          <w:bottom w:val="single" w:sz="12" w:space="1" w:color="0F2043"/>
        </w:pBdr>
      </w:pPr>
    </w:p>
    <w:p>
      <w:pPr>
        <w:spacing w:after="320" w:line="276" w:lineRule="auto"/>
      </w:pPr>
      <w:r>
        <w:rPr>
          <w:b/>
          <w:color w:val="0F2043"/>
          <w:sz w:val="24"/>
        </w:rPr>
        <w:t>Executive Overview:</w:t>
        <w:br/>
      </w:r>
      <w:r>
        <w:t>This document provides a structured assessment of five core enterprise security and operational dashboards (Executive Dashboard, US Exception Dashboard, US Guardrail Catalog, Weekly Operational Dashboard, and US Security Health Dashboard). It outlines critical visual, usability, and functional findings alongside business impacts and recommended remediation actions to improve readability, data freshness transparency, and governance reporting.</w:t>
      </w:r>
    </w:p>
    <w:p>
      <w:pPr>
        <w:keepNext/>
        <w:spacing w:before="320" w:after="160"/>
      </w:pPr>
      <w:r>
        <w:rPr>
          <w:b/>
          <w:color w:val="0F2043"/>
          <w:sz w:val="28"/>
        </w:rPr>
        <w:t>US Security Health Dashboard</w:t>
      </w:r>
    </w:p>
    <w:tbl>
      <w:tblPr>
        <w:tblW w:type="auto" w:w="0"/>
        <w:jc w:val="center"/>
        <w:tblLayout w:type="fixed"/>
        <w:tblLook w:firstColumn="1" w:firstRow="1" w:lastColumn="0" w:lastRow="0" w:noHBand="0" w:noVBand="1" w:val="04A0"/>
        <w:tblBorders>
          <w:top w:val="single" w:sz="4" w:space="0" w:color="D3D3D3"/>
          <w:left w:val="none"/>
          <w:bottom w:val="single" w:sz="8" w:space="0" w:color="0F2043"/>
          <w:right w:val="none"/>
          <w:insideH w:val="single" w:sz="4" w:space="0" w:color="D3D3D3"/>
          <w:insideV w:val="none"/>
        </w:tblBorders>
      </w:tblPr>
      <w:tblGrid>
        <w:gridCol w:w="2484"/>
        <w:gridCol w:w="2484"/>
        <w:gridCol w:w="2484"/>
        <w:gridCol w:w="2484"/>
      </w:tblGrid>
      <w:tr>
        <w:trPr>
          <w:tblHeader/>
        </w:trPr>
        <w:tc>
          <w:tcPr>
            <w:tcW w:type="dxa" w:w="2160"/>
            <w:shd w:fill="0F2043"/>
            <w:tcMar>
              <w:top w:w="120" w:type="dxa"/>
              <w:bottom w:w="120" w:type="dxa"/>
              <w:left w:w="100" w:type="dxa"/>
              <w:right w:w="100" w:type="dxa"/>
            </w:tcMar>
          </w:tcPr>
          <w:p>
            <w:pPr>
              <w:spacing w:before="40" w:after="40"/>
              <w:jc w:val="left"/>
            </w:pPr>
            <w:r>
              <w:rPr>
                <w:b/>
                <w:color w:val="FFFFFF"/>
                <w:sz w:val="19"/>
              </w:rPr>
              <w:t>Dashboard Name</w:t>
            </w:r>
          </w:p>
        </w:tc>
        <w:tc>
          <w:tcPr>
            <w:tcW w:type="dxa" w:w="2592"/>
            <w:shd w:fill="0F2043"/>
            <w:tcMar>
              <w:top w:w="120" w:type="dxa"/>
              <w:bottom w:w="120" w:type="dxa"/>
              <w:left w:w="100" w:type="dxa"/>
              <w:right w:w="100" w:type="dxa"/>
            </w:tcMar>
          </w:tcPr>
          <w:p>
            <w:pPr>
              <w:spacing w:before="40" w:after="40"/>
              <w:jc w:val="left"/>
            </w:pPr>
            <w:r>
              <w:rPr>
                <w:b/>
                <w:color w:val="FFFFFF"/>
                <w:sz w:val="19"/>
              </w:rPr>
              <w:t>Issue</w:t>
            </w:r>
          </w:p>
        </w:tc>
        <w:tc>
          <w:tcPr>
            <w:tcW w:type="dxa" w:w="2592"/>
            <w:shd w:fill="0F2043"/>
            <w:tcMar>
              <w:top w:w="120" w:type="dxa"/>
              <w:bottom w:w="120" w:type="dxa"/>
              <w:left w:w="100" w:type="dxa"/>
              <w:right w:w="100" w:type="dxa"/>
            </w:tcMar>
          </w:tcPr>
          <w:p>
            <w:pPr>
              <w:spacing w:before="40" w:after="40"/>
              <w:jc w:val="left"/>
            </w:pPr>
            <w:r>
              <w:rPr>
                <w:b/>
                <w:color w:val="FFFFFF"/>
                <w:sz w:val="19"/>
              </w:rPr>
              <w:t>Impact</w:t>
            </w:r>
          </w:p>
        </w:tc>
        <w:tc>
          <w:tcPr>
            <w:tcW w:type="dxa" w:w="2592"/>
            <w:shd w:fill="0F2043"/>
            <w:tcMar>
              <w:top w:w="120" w:type="dxa"/>
              <w:bottom w:w="120" w:type="dxa"/>
              <w:left w:w="100" w:type="dxa"/>
              <w:right w:w="100" w:type="dxa"/>
            </w:tcMar>
          </w:tcPr>
          <w:p>
            <w:pPr>
              <w:spacing w:before="40" w:after="40"/>
              <w:jc w:val="left"/>
            </w:pPr>
            <w:r>
              <w:rPr>
                <w:b/>
                <w:color w:val="FFFFFF"/>
                <w:sz w:val="19"/>
              </w:rPr>
              <w:t>Recommended Action</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Security Health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No Last Refresh Date displayed on the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Users cannot verify whether the displayed security data is up to date.</w:t>
            </w:r>
          </w:p>
        </w:tc>
        <w:tc>
          <w:tcPr>
            <w:tcW w:type="dxa" w:w="2592"/>
            <w:shd w:fill="FFFFFF"/>
            <w:tcMar>
              <w:top w:w="100" w:type="dxa"/>
              <w:bottom w:w="100" w:type="dxa"/>
              <w:left w:w="100" w:type="dxa"/>
              <w:right w:w="100" w:type="dxa"/>
            </w:tcMar>
          </w:tcPr>
          <w:p>
            <w:pPr>
              <w:spacing w:before="40" w:after="40" w:line="276" w:lineRule="auto"/>
              <w:jc w:val="left"/>
            </w:pPr>
            <w:r>
              <w:rPr>
                <w:sz w:val="18"/>
              </w:rPr>
              <w:t>Display the dataset's last refresh timestamp prominently on the header panel.</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Security Health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Dashboard contains many visuals on a single page, making it crowded.</w:t>
            </w:r>
          </w:p>
        </w:tc>
        <w:tc>
          <w:tcPr>
            <w:tcW w:type="dxa" w:w="2592"/>
            <w:shd w:fill="F8F9FA"/>
            <w:tcMar>
              <w:top w:w="100" w:type="dxa"/>
              <w:bottom w:w="100" w:type="dxa"/>
              <w:left w:w="100" w:type="dxa"/>
              <w:right w:w="100" w:type="dxa"/>
            </w:tcMar>
          </w:tcPr>
          <w:p>
            <w:pPr>
              <w:spacing w:before="40" w:after="40" w:line="276" w:lineRule="auto"/>
              <w:jc w:val="left"/>
            </w:pPr>
            <w:r>
              <w:rPr>
                <w:sz w:val="18"/>
              </w:rPr>
              <w:t>Reduces readability and negatively affects user decision-making experience.</w:t>
            </w:r>
          </w:p>
        </w:tc>
        <w:tc>
          <w:tcPr>
            <w:tcW w:type="dxa" w:w="2592"/>
            <w:shd w:fill="F8F9FA"/>
            <w:tcMar>
              <w:top w:w="100" w:type="dxa"/>
              <w:bottom w:w="100" w:type="dxa"/>
              <w:left w:w="100" w:type="dxa"/>
              <w:right w:w="100" w:type="dxa"/>
            </w:tcMar>
          </w:tcPr>
          <w:p>
            <w:pPr>
              <w:spacing w:before="40" w:after="40" w:line="276" w:lineRule="auto"/>
              <w:jc w:val="left"/>
            </w:pPr>
            <w:r>
              <w:rPr>
                <w:sz w:val="18"/>
              </w:rPr>
              <w:t>Split visuals across logical report tabs or utilize interactive drill-through pages.</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Security Health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No tooltip pages for charts and KPIs.</w:t>
            </w:r>
          </w:p>
        </w:tc>
        <w:tc>
          <w:tcPr>
            <w:tcW w:type="dxa" w:w="2592"/>
            <w:shd w:fill="FFFFFF"/>
            <w:tcMar>
              <w:top w:w="100" w:type="dxa"/>
              <w:bottom w:w="100" w:type="dxa"/>
              <w:left w:w="100" w:type="dxa"/>
              <w:right w:w="100" w:type="dxa"/>
            </w:tcMar>
          </w:tcPr>
          <w:p>
            <w:pPr>
              <w:spacing w:before="40" w:after="40" w:line="276" w:lineRule="auto"/>
              <w:jc w:val="left"/>
            </w:pPr>
            <w:r>
              <w:rPr>
                <w:sz w:val="18"/>
              </w:rPr>
              <w:t>Users cannot view contextual details or breakdowns without leaving or opening secondary visuals.</w:t>
            </w:r>
          </w:p>
        </w:tc>
        <w:tc>
          <w:tcPr>
            <w:tcW w:type="dxa" w:w="2592"/>
            <w:shd w:fill="FFFFFF"/>
            <w:tcMar>
              <w:top w:w="100" w:type="dxa"/>
              <w:bottom w:w="100" w:type="dxa"/>
              <w:left w:w="100" w:type="dxa"/>
              <w:right w:w="100" w:type="dxa"/>
            </w:tcMar>
          </w:tcPr>
          <w:p>
            <w:pPr>
              <w:spacing w:before="40" w:after="40" w:line="276" w:lineRule="auto"/>
              <w:jc w:val="left"/>
            </w:pPr>
            <w:r>
              <w:rPr>
                <w:sz w:val="18"/>
              </w:rPr>
              <w:t>Implement custom report page tooltips for key metrics and charts.</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Security Health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No drill-through functionality from summary charts to detailed records.</w:t>
            </w:r>
          </w:p>
        </w:tc>
        <w:tc>
          <w:tcPr>
            <w:tcW w:type="dxa" w:w="2592"/>
            <w:shd w:fill="F8F9FA"/>
            <w:tcMar>
              <w:top w:w="100" w:type="dxa"/>
              <w:bottom w:w="100" w:type="dxa"/>
              <w:left w:w="100" w:type="dxa"/>
              <w:right w:w="100" w:type="dxa"/>
            </w:tcMar>
          </w:tcPr>
          <w:p>
            <w:pPr>
              <w:spacing w:before="40" w:after="40" w:line="276" w:lineRule="auto"/>
              <w:jc w:val="left"/>
            </w:pPr>
            <w:r>
              <w:rPr>
                <w:sz w:val="18"/>
              </w:rPr>
              <w:t>Makes root-cause analysis slower and increases investigation friction.</w:t>
            </w:r>
          </w:p>
        </w:tc>
        <w:tc>
          <w:tcPr>
            <w:tcW w:type="dxa" w:w="2592"/>
            <w:shd w:fill="F8F9FA"/>
            <w:tcMar>
              <w:top w:w="100" w:type="dxa"/>
              <w:bottom w:w="100" w:type="dxa"/>
              <w:left w:w="100" w:type="dxa"/>
              <w:right w:w="100" w:type="dxa"/>
            </w:tcMar>
          </w:tcPr>
          <w:p>
            <w:pPr>
              <w:spacing w:before="40" w:after="40" w:line="276" w:lineRule="auto"/>
              <w:jc w:val="left"/>
            </w:pPr>
            <w:r>
              <w:rPr>
                <w:sz w:val="18"/>
              </w:rPr>
              <w:t>Add drill-through pages tailored for resource, tenant, or cloud provider breakdowns.</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Security Health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Long details table at the bottom requires excessive scrolling.</w:t>
            </w:r>
          </w:p>
        </w:tc>
        <w:tc>
          <w:tcPr>
            <w:tcW w:type="dxa" w:w="2592"/>
            <w:shd w:fill="FFFFFF"/>
            <w:tcMar>
              <w:top w:w="100" w:type="dxa"/>
              <w:bottom w:w="100" w:type="dxa"/>
              <w:left w:w="100" w:type="dxa"/>
              <w:right w:w="100" w:type="dxa"/>
            </w:tcMar>
          </w:tcPr>
          <w:p>
            <w:pPr>
              <w:spacing w:before="40" w:after="40" w:line="276" w:lineRule="auto"/>
              <w:jc w:val="left"/>
            </w:pPr>
            <w:r>
              <w:rPr>
                <w:sz w:val="18"/>
              </w:rPr>
              <w:t>Difficult for users to efficiently filter, locate, and analyze granular security records.</w:t>
            </w:r>
          </w:p>
        </w:tc>
        <w:tc>
          <w:tcPr>
            <w:tcW w:type="dxa" w:w="2592"/>
            <w:shd w:fill="FFFFFF"/>
            <w:tcMar>
              <w:top w:w="100" w:type="dxa"/>
              <w:bottom w:w="100" w:type="dxa"/>
              <w:left w:w="100" w:type="dxa"/>
              <w:right w:w="100" w:type="dxa"/>
            </w:tcMar>
          </w:tcPr>
          <w:p>
            <w:pPr>
              <w:spacing w:before="40" w:after="40" w:line="276" w:lineRule="auto"/>
              <w:jc w:val="left"/>
            </w:pPr>
            <w:r>
              <w:rPr>
                <w:sz w:val="18"/>
              </w:rPr>
              <w:t>Incorporate quick search, server-side pagination, or move detailed grids to a dedicated sub-page.</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Security Health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No conditional formatting for high-risk or non-compliant resources.</w:t>
            </w:r>
          </w:p>
        </w:tc>
        <w:tc>
          <w:tcPr>
            <w:tcW w:type="dxa" w:w="2592"/>
            <w:shd w:fill="F8F9FA"/>
            <w:tcMar>
              <w:top w:w="100" w:type="dxa"/>
              <w:bottom w:w="100" w:type="dxa"/>
              <w:left w:w="100" w:type="dxa"/>
              <w:right w:w="100" w:type="dxa"/>
            </w:tcMar>
          </w:tcPr>
          <w:p>
            <w:pPr>
              <w:spacing w:before="40" w:after="40" w:line="276" w:lineRule="auto"/>
              <w:jc w:val="left"/>
            </w:pPr>
            <w:r>
              <w:rPr>
                <w:sz w:val="18"/>
              </w:rPr>
              <w:t>Critical vulnerability spikes and compliance breaches are not immediately noticeable.</w:t>
            </w:r>
          </w:p>
        </w:tc>
        <w:tc>
          <w:tcPr>
            <w:tcW w:type="dxa" w:w="2592"/>
            <w:shd w:fill="F8F9FA"/>
            <w:tcMar>
              <w:top w:w="100" w:type="dxa"/>
              <w:bottom w:w="100" w:type="dxa"/>
              <w:left w:w="100" w:type="dxa"/>
              <w:right w:w="100" w:type="dxa"/>
            </w:tcMar>
          </w:tcPr>
          <w:p>
            <w:pPr>
              <w:spacing w:before="40" w:after="40" w:line="276" w:lineRule="auto"/>
              <w:jc w:val="left"/>
            </w:pPr>
            <w:r>
              <w:rPr>
                <w:sz w:val="18"/>
              </w:rPr>
              <w:t>Apply visual conditional formatting (color highlights/icons) based on risk severity thresholds.</w:t>
            </w:r>
          </w:p>
        </w:tc>
      </w:tr>
    </w:tbl>
    <w:p>
      <w:pPr>
        <w:spacing w:after="160"/>
      </w:pPr>
    </w:p>
    <w:p>
      <w:pPr>
        <w:keepNext/>
        <w:spacing w:before="320" w:after="160"/>
      </w:pPr>
      <w:r>
        <w:rPr>
          <w:b/>
          <w:color w:val="0F2043"/>
          <w:sz w:val="28"/>
        </w:rPr>
        <w:t>Executive Dashboard</w:t>
      </w:r>
    </w:p>
    <w:tbl>
      <w:tblPr>
        <w:tblW w:type="auto" w:w="0"/>
        <w:jc w:val="center"/>
        <w:tblLayout w:type="fixed"/>
        <w:tblLook w:firstColumn="1" w:firstRow="1" w:lastColumn="0" w:lastRow="0" w:noHBand="0" w:noVBand="1" w:val="04A0"/>
        <w:tblBorders>
          <w:top w:val="single" w:sz="4" w:space="0" w:color="D3D3D3"/>
          <w:left w:val="none"/>
          <w:bottom w:val="single" w:sz="8" w:space="0" w:color="0F2043"/>
          <w:right w:val="none"/>
          <w:insideH w:val="single" w:sz="4" w:space="0" w:color="D3D3D3"/>
          <w:insideV w:val="none"/>
        </w:tblBorders>
      </w:tblPr>
      <w:tblGrid>
        <w:gridCol w:w="2484"/>
        <w:gridCol w:w="2484"/>
        <w:gridCol w:w="2484"/>
        <w:gridCol w:w="2484"/>
      </w:tblGrid>
      <w:tr>
        <w:trPr>
          <w:tblHeader/>
        </w:trPr>
        <w:tc>
          <w:tcPr>
            <w:tcW w:type="dxa" w:w="2160"/>
            <w:shd w:fill="0F2043"/>
            <w:tcMar>
              <w:top w:w="120" w:type="dxa"/>
              <w:bottom w:w="120" w:type="dxa"/>
              <w:left w:w="100" w:type="dxa"/>
              <w:right w:w="100" w:type="dxa"/>
            </w:tcMar>
          </w:tcPr>
          <w:p>
            <w:pPr>
              <w:spacing w:before="40" w:after="40"/>
              <w:jc w:val="left"/>
            </w:pPr>
            <w:r>
              <w:rPr>
                <w:b/>
                <w:color w:val="FFFFFF"/>
                <w:sz w:val="19"/>
              </w:rPr>
              <w:t>Dashboard Name</w:t>
            </w:r>
          </w:p>
        </w:tc>
        <w:tc>
          <w:tcPr>
            <w:tcW w:type="dxa" w:w="2592"/>
            <w:shd w:fill="0F2043"/>
            <w:tcMar>
              <w:top w:w="120" w:type="dxa"/>
              <w:bottom w:w="120" w:type="dxa"/>
              <w:left w:w="100" w:type="dxa"/>
              <w:right w:w="100" w:type="dxa"/>
            </w:tcMar>
          </w:tcPr>
          <w:p>
            <w:pPr>
              <w:spacing w:before="40" w:after="40"/>
              <w:jc w:val="left"/>
            </w:pPr>
            <w:r>
              <w:rPr>
                <w:b/>
                <w:color w:val="FFFFFF"/>
                <w:sz w:val="19"/>
              </w:rPr>
              <w:t>Issue</w:t>
            </w:r>
          </w:p>
        </w:tc>
        <w:tc>
          <w:tcPr>
            <w:tcW w:type="dxa" w:w="2592"/>
            <w:shd w:fill="0F2043"/>
            <w:tcMar>
              <w:top w:w="120" w:type="dxa"/>
              <w:bottom w:w="120" w:type="dxa"/>
              <w:left w:w="100" w:type="dxa"/>
              <w:right w:w="100" w:type="dxa"/>
            </w:tcMar>
          </w:tcPr>
          <w:p>
            <w:pPr>
              <w:spacing w:before="40" w:after="40"/>
              <w:jc w:val="left"/>
            </w:pPr>
            <w:r>
              <w:rPr>
                <w:b/>
                <w:color w:val="FFFFFF"/>
                <w:sz w:val="19"/>
              </w:rPr>
              <w:t>Impact</w:t>
            </w:r>
          </w:p>
        </w:tc>
        <w:tc>
          <w:tcPr>
            <w:tcW w:type="dxa" w:w="2592"/>
            <w:shd w:fill="0F2043"/>
            <w:tcMar>
              <w:top w:w="120" w:type="dxa"/>
              <w:bottom w:w="120" w:type="dxa"/>
              <w:left w:w="100" w:type="dxa"/>
              <w:right w:w="100" w:type="dxa"/>
            </w:tcMar>
          </w:tcPr>
          <w:p>
            <w:pPr>
              <w:spacing w:before="40" w:after="40"/>
              <w:jc w:val="left"/>
            </w:pPr>
            <w:r>
              <w:rPr>
                <w:b/>
                <w:color w:val="FFFFFF"/>
                <w:sz w:val="19"/>
              </w:rPr>
              <w:t>Recommended Action</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Executive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No explicit dataset refresh timestamp visible on executive cards.</w:t>
            </w:r>
          </w:p>
        </w:tc>
        <w:tc>
          <w:tcPr>
            <w:tcW w:type="dxa" w:w="2592"/>
            <w:shd w:fill="FFFFFF"/>
            <w:tcMar>
              <w:top w:w="100" w:type="dxa"/>
              <w:bottom w:w="100" w:type="dxa"/>
              <w:left w:w="100" w:type="dxa"/>
              <w:right w:w="100" w:type="dxa"/>
            </w:tcMar>
          </w:tcPr>
          <w:p>
            <w:pPr>
              <w:spacing w:before="40" w:after="40" w:line="276" w:lineRule="auto"/>
              <w:jc w:val="left"/>
            </w:pPr>
            <w:r>
              <w:rPr>
                <w:sz w:val="18"/>
              </w:rPr>
              <w:t>Executive leadership lacks real-time verification of data recency, risking decisions based on stale security metrics.</w:t>
            </w:r>
          </w:p>
        </w:tc>
        <w:tc>
          <w:tcPr>
            <w:tcW w:type="dxa" w:w="2592"/>
            <w:shd w:fill="FFFFFF"/>
            <w:tcMar>
              <w:top w:w="100" w:type="dxa"/>
              <w:bottom w:w="100" w:type="dxa"/>
              <w:left w:w="100" w:type="dxa"/>
              <w:right w:w="100" w:type="dxa"/>
            </w:tcMar>
          </w:tcPr>
          <w:p>
            <w:pPr>
              <w:spacing w:before="40" w:after="40" w:line="276" w:lineRule="auto"/>
              <w:jc w:val="left"/>
            </w:pPr>
            <w:r>
              <w:rPr>
                <w:sz w:val="18"/>
              </w:rPr>
              <w:t>Incorporate a dedicated 'Data Last Refreshed' timestamp card in the top navigation/header section.</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Executive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High visual density with multiple overlapping KPI cards and charts on a single tab.</w:t>
            </w:r>
          </w:p>
        </w:tc>
        <w:tc>
          <w:tcPr>
            <w:tcW w:type="dxa" w:w="2592"/>
            <w:shd w:fill="F8F9FA"/>
            <w:tcMar>
              <w:top w:w="100" w:type="dxa"/>
              <w:bottom w:w="100" w:type="dxa"/>
              <w:left w:w="100" w:type="dxa"/>
              <w:right w:w="100" w:type="dxa"/>
            </w:tcMar>
          </w:tcPr>
          <w:p>
            <w:pPr>
              <w:spacing w:before="40" w:after="40" w:line="276" w:lineRule="auto"/>
              <w:jc w:val="left"/>
            </w:pPr>
            <w:r>
              <w:rPr>
                <w:sz w:val="18"/>
              </w:rPr>
              <w:t>Creates cognitive overload for C-level stakeholders and obscures high-priority strategic insights.</w:t>
            </w:r>
          </w:p>
        </w:tc>
        <w:tc>
          <w:tcPr>
            <w:tcW w:type="dxa" w:w="2592"/>
            <w:shd w:fill="F8F9FA"/>
            <w:tcMar>
              <w:top w:w="100" w:type="dxa"/>
              <w:bottom w:w="100" w:type="dxa"/>
              <w:left w:w="100" w:type="dxa"/>
              <w:right w:w="100" w:type="dxa"/>
            </w:tcMar>
          </w:tcPr>
          <w:p>
            <w:pPr>
              <w:spacing w:before="40" w:after="40" w:line="276" w:lineRule="auto"/>
              <w:jc w:val="left"/>
            </w:pPr>
            <w:r>
              <w:rPr>
                <w:sz w:val="18"/>
              </w:rPr>
              <w:t>Re-architect layout using focused executive summary tabs, collapsing granular breakdowns into drill-through layers.</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Executive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Absence of custom hover tooltips on high-level trend charts.</w:t>
            </w:r>
          </w:p>
        </w:tc>
        <w:tc>
          <w:tcPr>
            <w:tcW w:type="dxa" w:w="2592"/>
            <w:shd w:fill="FFFFFF"/>
            <w:tcMar>
              <w:top w:w="100" w:type="dxa"/>
              <w:bottom w:w="100" w:type="dxa"/>
              <w:left w:w="100" w:type="dxa"/>
              <w:right w:w="100" w:type="dxa"/>
            </w:tcMar>
          </w:tcPr>
          <w:p>
            <w:pPr>
              <w:spacing w:before="40" w:after="40" w:line="276" w:lineRule="auto"/>
              <w:jc w:val="left"/>
            </w:pPr>
            <w:r>
              <w:rPr>
                <w:sz w:val="18"/>
              </w:rPr>
              <w:t>Executives cannot view contextual sub-metrics (e.g., breakdown by Line of Business) without altering global filters.</w:t>
            </w:r>
          </w:p>
        </w:tc>
        <w:tc>
          <w:tcPr>
            <w:tcW w:type="dxa" w:w="2592"/>
            <w:shd w:fill="FFFFFF"/>
            <w:tcMar>
              <w:top w:w="100" w:type="dxa"/>
              <w:bottom w:w="100" w:type="dxa"/>
              <w:left w:w="100" w:type="dxa"/>
              <w:right w:w="100" w:type="dxa"/>
            </w:tcMar>
          </w:tcPr>
          <w:p>
            <w:pPr>
              <w:spacing w:before="40" w:after="40" w:line="276" w:lineRule="auto"/>
              <w:jc w:val="left"/>
            </w:pPr>
            <w:r>
              <w:rPr>
                <w:sz w:val="18"/>
              </w:rPr>
              <w:t>Design lightweight tooltip pages showing LOB breakdowns and week-over-week variance on hover.</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Executive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Lack of drill-through navigation from high-level vulnerability/exception counts to operational details.</w:t>
            </w:r>
          </w:p>
        </w:tc>
        <w:tc>
          <w:tcPr>
            <w:tcW w:type="dxa" w:w="2592"/>
            <w:shd w:fill="F8F9FA"/>
            <w:tcMar>
              <w:top w:w="100" w:type="dxa"/>
              <w:bottom w:w="100" w:type="dxa"/>
              <w:left w:w="100" w:type="dxa"/>
              <w:right w:w="100" w:type="dxa"/>
            </w:tcMar>
          </w:tcPr>
          <w:p>
            <w:pPr>
              <w:spacing w:before="40" w:after="40" w:line="276" w:lineRule="auto"/>
              <w:jc w:val="left"/>
            </w:pPr>
            <w:r>
              <w:rPr>
                <w:sz w:val="18"/>
              </w:rPr>
              <w:t>Inability for leaders to quickly delegate or investigate specific high-risk items directly from the summary view.</w:t>
            </w:r>
          </w:p>
        </w:tc>
        <w:tc>
          <w:tcPr>
            <w:tcW w:type="dxa" w:w="2592"/>
            <w:shd w:fill="F8F9FA"/>
            <w:tcMar>
              <w:top w:w="100" w:type="dxa"/>
              <w:bottom w:w="100" w:type="dxa"/>
              <w:left w:w="100" w:type="dxa"/>
              <w:right w:w="100" w:type="dxa"/>
            </w:tcMar>
          </w:tcPr>
          <w:p>
            <w:pPr>
              <w:spacing w:before="40" w:after="40" w:line="276" w:lineRule="auto"/>
              <w:jc w:val="left"/>
            </w:pPr>
            <w:r>
              <w:rPr>
                <w:sz w:val="18"/>
              </w:rPr>
              <w:t>Enable right-click drill-through actions linking summary KPIs directly to tactical remediation sub-reports.</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Executive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Unformatted and dense summary table at the bottom of the executive view.</w:t>
            </w:r>
          </w:p>
        </w:tc>
        <w:tc>
          <w:tcPr>
            <w:tcW w:type="dxa" w:w="2592"/>
            <w:shd w:fill="FFFFFF"/>
            <w:tcMar>
              <w:top w:w="100" w:type="dxa"/>
              <w:bottom w:w="100" w:type="dxa"/>
              <w:left w:w="100" w:type="dxa"/>
              <w:right w:w="100" w:type="dxa"/>
            </w:tcMar>
          </w:tcPr>
          <w:p>
            <w:pPr>
              <w:spacing w:before="40" w:after="40" w:line="276" w:lineRule="auto"/>
              <w:jc w:val="left"/>
            </w:pPr>
            <w:r>
              <w:rPr>
                <w:sz w:val="18"/>
              </w:rPr>
              <w:t>Requires excessive scrolling and manual searching to find business-unit specific exposure.</w:t>
            </w:r>
          </w:p>
        </w:tc>
        <w:tc>
          <w:tcPr>
            <w:tcW w:type="dxa" w:w="2592"/>
            <w:shd w:fill="FFFFFF"/>
            <w:tcMar>
              <w:top w:w="100" w:type="dxa"/>
              <w:bottom w:w="100" w:type="dxa"/>
              <w:left w:w="100" w:type="dxa"/>
              <w:right w:w="100" w:type="dxa"/>
            </w:tcMar>
          </w:tcPr>
          <w:p>
            <w:pPr>
              <w:spacing w:before="40" w:after="40" w:line="276" w:lineRule="auto"/>
              <w:jc w:val="left"/>
            </w:pPr>
            <w:r>
              <w:rPr>
                <w:sz w:val="18"/>
              </w:rPr>
              <w:t>Replace dense tables with top-5 priority cards and move raw tables to an Appendix/Detail tab with dynamic search.</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Executive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Lack of severity-based visual cues and conditional color coding on key metrics.</w:t>
            </w:r>
          </w:p>
        </w:tc>
        <w:tc>
          <w:tcPr>
            <w:tcW w:type="dxa" w:w="2592"/>
            <w:shd w:fill="F8F9FA"/>
            <w:tcMar>
              <w:top w:w="100" w:type="dxa"/>
              <w:bottom w:w="100" w:type="dxa"/>
              <w:left w:w="100" w:type="dxa"/>
              <w:right w:w="100" w:type="dxa"/>
            </w:tcMar>
          </w:tcPr>
          <w:p>
            <w:pPr>
              <w:spacing w:before="40" w:after="40" w:line="276" w:lineRule="auto"/>
              <w:jc w:val="left"/>
            </w:pPr>
            <w:r>
              <w:rPr>
                <w:sz w:val="18"/>
              </w:rPr>
              <w:t>Emergent critical vulnerabilities blends in with standard operational items, delaying urgent responses.</w:t>
            </w:r>
          </w:p>
        </w:tc>
        <w:tc>
          <w:tcPr>
            <w:tcW w:type="dxa" w:w="2592"/>
            <w:shd w:fill="F8F9FA"/>
            <w:tcMar>
              <w:top w:w="100" w:type="dxa"/>
              <w:bottom w:w="100" w:type="dxa"/>
              <w:left w:w="100" w:type="dxa"/>
              <w:right w:w="100" w:type="dxa"/>
            </w:tcMar>
          </w:tcPr>
          <w:p>
            <w:pPr>
              <w:spacing w:before="40" w:after="40" w:line="276" w:lineRule="auto"/>
              <w:jc w:val="left"/>
            </w:pPr>
            <w:r>
              <w:rPr>
                <w:sz w:val="18"/>
              </w:rPr>
              <w:t>Implement conditional color indicators (Red/Amber/Green) and icon sets for critical threshold breaches.</w:t>
            </w:r>
          </w:p>
        </w:tc>
      </w:tr>
    </w:tbl>
    <w:p>
      <w:pPr>
        <w:spacing w:after="160"/>
      </w:pPr>
    </w:p>
    <w:p>
      <w:pPr>
        <w:keepNext/>
        <w:spacing w:before="320" w:after="160"/>
      </w:pPr>
      <w:r>
        <w:rPr>
          <w:b/>
          <w:color w:val="0F2043"/>
          <w:sz w:val="28"/>
        </w:rPr>
        <w:t>US Exception Dashboard</w:t>
      </w:r>
    </w:p>
    <w:tbl>
      <w:tblPr>
        <w:tblW w:type="auto" w:w="0"/>
        <w:jc w:val="center"/>
        <w:tblLayout w:type="fixed"/>
        <w:tblLook w:firstColumn="1" w:firstRow="1" w:lastColumn="0" w:lastRow="0" w:noHBand="0" w:noVBand="1" w:val="04A0"/>
        <w:tblBorders>
          <w:top w:val="single" w:sz="4" w:space="0" w:color="D3D3D3"/>
          <w:left w:val="none"/>
          <w:bottom w:val="single" w:sz="8" w:space="0" w:color="0F2043"/>
          <w:right w:val="none"/>
          <w:insideH w:val="single" w:sz="4" w:space="0" w:color="D3D3D3"/>
          <w:insideV w:val="none"/>
        </w:tblBorders>
      </w:tblPr>
      <w:tblGrid>
        <w:gridCol w:w="2484"/>
        <w:gridCol w:w="2484"/>
        <w:gridCol w:w="2484"/>
        <w:gridCol w:w="2484"/>
      </w:tblGrid>
      <w:tr>
        <w:trPr>
          <w:tblHeader/>
        </w:trPr>
        <w:tc>
          <w:tcPr>
            <w:tcW w:type="dxa" w:w="2160"/>
            <w:shd w:fill="0F2043"/>
            <w:tcMar>
              <w:top w:w="120" w:type="dxa"/>
              <w:bottom w:w="120" w:type="dxa"/>
              <w:left w:w="100" w:type="dxa"/>
              <w:right w:w="100" w:type="dxa"/>
            </w:tcMar>
          </w:tcPr>
          <w:p>
            <w:pPr>
              <w:spacing w:before="40" w:after="40"/>
              <w:jc w:val="left"/>
            </w:pPr>
            <w:r>
              <w:rPr>
                <w:b/>
                <w:color w:val="FFFFFF"/>
                <w:sz w:val="19"/>
              </w:rPr>
              <w:t>Dashboard Name</w:t>
            </w:r>
          </w:p>
        </w:tc>
        <w:tc>
          <w:tcPr>
            <w:tcW w:type="dxa" w:w="2592"/>
            <w:shd w:fill="0F2043"/>
            <w:tcMar>
              <w:top w:w="120" w:type="dxa"/>
              <w:bottom w:w="120" w:type="dxa"/>
              <w:left w:w="100" w:type="dxa"/>
              <w:right w:w="100" w:type="dxa"/>
            </w:tcMar>
          </w:tcPr>
          <w:p>
            <w:pPr>
              <w:spacing w:before="40" w:after="40"/>
              <w:jc w:val="left"/>
            </w:pPr>
            <w:r>
              <w:rPr>
                <w:b/>
                <w:color w:val="FFFFFF"/>
                <w:sz w:val="19"/>
              </w:rPr>
              <w:t>Issue</w:t>
            </w:r>
          </w:p>
        </w:tc>
        <w:tc>
          <w:tcPr>
            <w:tcW w:type="dxa" w:w="2592"/>
            <w:shd w:fill="0F2043"/>
            <w:tcMar>
              <w:top w:w="120" w:type="dxa"/>
              <w:bottom w:w="120" w:type="dxa"/>
              <w:left w:w="100" w:type="dxa"/>
              <w:right w:w="100" w:type="dxa"/>
            </w:tcMar>
          </w:tcPr>
          <w:p>
            <w:pPr>
              <w:spacing w:before="40" w:after="40"/>
              <w:jc w:val="left"/>
            </w:pPr>
            <w:r>
              <w:rPr>
                <w:b/>
                <w:color w:val="FFFFFF"/>
                <w:sz w:val="19"/>
              </w:rPr>
              <w:t>Impact</w:t>
            </w:r>
          </w:p>
        </w:tc>
        <w:tc>
          <w:tcPr>
            <w:tcW w:type="dxa" w:w="2592"/>
            <w:shd w:fill="0F2043"/>
            <w:tcMar>
              <w:top w:w="120" w:type="dxa"/>
              <w:bottom w:w="120" w:type="dxa"/>
              <w:left w:w="100" w:type="dxa"/>
              <w:right w:w="100" w:type="dxa"/>
            </w:tcMar>
          </w:tcPr>
          <w:p>
            <w:pPr>
              <w:spacing w:before="40" w:after="40"/>
              <w:jc w:val="left"/>
            </w:pPr>
            <w:r>
              <w:rPr>
                <w:b/>
                <w:color w:val="FFFFFF"/>
                <w:sz w:val="19"/>
              </w:rPr>
              <w:t>Recommended Action</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Exception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Missing 'Last Refreshed' date indicator on policy exception tracking screens.</w:t>
            </w:r>
          </w:p>
        </w:tc>
        <w:tc>
          <w:tcPr>
            <w:tcW w:type="dxa" w:w="2592"/>
            <w:shd w:fill="FFFFFF"/>
            <w:tcMar>
              <w:top w:w="100" w:type="dxa"/>
              <w:bottom w:w="100" w:type="dxa"/>
              <w:left w:w="100" w:type="dxa"/>
              <w:right w:w="100" w:type="dxa"/>
            </w:tcMar>
          </w:tcPr>
          <w:p>
            <w:pPr>
              <w:spacing w:before="40" w:after="40" w:line="276" w:lineRule="auto"/>
              <w:jc w:val="left"/>
            </w:pPr>
            <w:r>
              <w:rPr>
                <w:sz w:val="18"/>
              </w:rPr>
              <w:t>Security compliance teams cannot confirm if recently approved exceptions are reflected in current metrics.</w:t>
            </w:r>
          </w:p>
        </w:tc>
        <w:tc>
          <w:tcPr>
            <w:tcW w:type="dxa" w:w="2592"/>
            <w:shd w:fill="FFFFFF"/>
            <w:tcMar>
              <w:top w:w="100" w:type="dxa"/>
              <w:bottom w:w="100" w:type="dxa"/>
              <w:left w:w="100" w:type="dxa"/>
              <w:right w:w="100" w:type="dxa"/>
            </w:tcMar>
          </w:tcPr>
          <w:p>
            <w:pPr>
              <w:spacing w:before="40" w:after="40" w:line="276" w:lineRule="auto"/>
              <w:jc w:val="left"/>
            </w:pPr>
            <w:r>
              <w:rPr>
                <w:sz w:val="18"/>
              </w:rPr>
              <w:t>Add dynamic M-query or DAX refreshed timestamp at the top of the exception reporting layout.</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Exception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Cluttered matrix layout combining active exceptions, trend lines, and account breakdowns on one page.</w:t>
            </w:r>
          </w:p>
        </w:tc>
        <w:tc>
          <w:tcPr>
            <w:tcW w:type="dxa" w:w="2592"/>
            <w:shd w:fill="F8F9FA"/>
            <w:tcMar>
              <w:top w:w="100" w:type="dxa"/>
              <w:bottom w:w="100" w:type="dxa"/>
              <w:left w:w="100" w:type="dxa"/>
              <w:right w:w="100" w:type="dxa"/>
            </w:tcMar>
          </w:tcPr>
          <w:p>
            <w:pPr>
              <w:spacing w:before="40" w:after="40" w:line="276" w:lineRule="auto"/>
              <w:jc w:val="left"/>
            </w:pPr>
            <w:r>
              <w:rPr>
                <w:sz w:val="18"/>
              </w:rPr>
              <w:t>Reduces visibility of high-priority expiring exceptions and impairs navigation flow.</w:t>
            </w:r>
          </w:p>
        </w:tc>
        <w:tc>
          <w:tcPr>
            <w:tcW w:type="dxa" w:w="2592"/>
            <w:shd w:fill="F8F9FA"/>
            <w:tcMar>
              <w:top w:w="100" w:type="dxa"/>
              <w:bottom w:w="100" w:type="dxa"/>
              <w:left w:w="100" w:type="dxa"/>
              <w:right w:w="100" w:type="dxa"/>
            </w:tcMar>
          </w:tcPr>
          <w:p>
            <w:pPr>
              <w:spacing w:before="40" w:after="40" w:line="276" w:lineRule="auto"/>
              <w:jc w:val="left"/>
            </w:pPr>
            <w:r>
              <w:rPr>
                <w:sz w:val="18"/>
              </w:rPr>
              <w:t>Separate exception metrics into distinct tabs: 'Active Exceptions', 'Expiring Exceptions', and 'Policy Catalog'.</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Exception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No summary visual tooltips on active exception pie/donut charts.</w:t>
            </w:r>
          </w:p>
        </w:tc>
        <w:tc>
          <w:tcPr>
            <w:tcW w:type="dxa" w:w="2592"/>
            <w:shd w:fill="FFFFFF"/>
            <w:tcMar>
              <w:top w:w="100" w:type="dxa"/>
              <w:bottom w:w="100" w:type="dxa"/>
              <w:left w:w="100" w:type="dxa"/>
              <w:right w:w="100" w:type="dxa"/>
            </w:tcMar>
          </w:tcPr>
          <w:p>
            <w:pPr>
              <w:spacing w:before="40" w:after="40" w:line="276" w:lineRule="auto"/>
              <w:jc w:val="left"/>
            </w:pPr>
            <w:r>
              <w:rPr>
                <w:sz w:val="18"/>
              </w:rPr>
              <w:t>Users cannot see specific Cloud Service Provider (CSP) or Account ID distributions on quick glance.</w:t>
            </w:r>
          </w:p>
        </w:tc>
        <w:tc>
          <w:tcPr>
            <w:tcW w:type="dxa" w:w="2592"/>
            <w:shd w:fill="FFFFFF"/>
            <w:tcMar>
              <w:top w:w="100" w:type="dxa"/>
              <w:bottom w:w="100" w:type="dxa"/>
              <w:left w:w="100" w:type="dxa"/>
              <w:right w:w="100" w:type="dxa"/>
            </w:tcMar>
          </w:tcPr>
          <w:p>
            <w:pPr>
              <w:spacing w:before="40" w:after="40" w:line="276" w:lineRule="auto"/>
              <w:jc w:val="left"/>
            </w:pPr>
            <w:r>
              <w:rPr>
                <w:sz w:val="18"/>
              </w:rPr>
              <w:t>Add interactive custom tooltips displaying CSP distribution and requester metadata on chart hover.</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Exception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Static exception table without seamless drill-through to underlying account or policy rules.</w:t>
            </w:r>
          </w:p>
        </w:tc>
        <w:tc>
          <w:tcPr>
            <w:tcW w:type="dxa" w:w="2592"/>
            <w:shd w:fill="F8F9FA"/>
            <w:tcMar>
              <w:top w:w="100" w:type="dxa"/>
              <w:bottom w:w="100" w:type="dxa"/>
              <w:left w:w="100" w:type="dxa"/>
              <w:right w:w="100" w:type="dxa"/>
            </w:tcMar>
          </w:tcPr>
          <w:p>
            <w:pPr>
              <w:spacing w:before="40" w:after="40" w:line="276" w:lineRule="auto"/>
              <w:jc w:val="left"/>
            </w:pPr>
            <w:r>
              <w:rPr>
                <w:sz w:val="18"/>
              </w:rPr>
              <w:t>Auditors and reviewers must manually copy account IDs to search other security portals for context.</w:t>
            </w:r>
          </w:p>
        </w:tc>
        <w:tc>
          <w:tcPr>
            <w:tcW w:type="dxa" w:w="2592"/>
            <w:shd w:fill="F8F9FA"/>
            <w:tcMar>
              <w:top w:w="100" w:type="dxa"/>
              <w:bottom w:w="100" w:type="dxa"/>
              <w:left w:w="100" w:type="dxa"/>
              <w:right w:w="100" w:type="dxa"/>
            </w:tcMar>
          </w:tcPr>
          <w:p>
            <w:pPr>
              <w:spacing w:before="40" w:after="40" w:line="276" w:lineRule="auto"/>
              <w:jc w:val="left"/>
            </w:pPr>
            <w:r>
              <w:rPr>
                <w:sz w:val="18"/>
              </w:rPr>
              <w:t>Configure drill-through pathways from exception records to full policy definition and account context pages.</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Exception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Extensive Exception Details grid causes horizontal and vertical scroll fatigue.</w:t>
            </w:r>
          </w:p>
        </w:tc>
        <w:tc>
          <w:tcPr>
            <w:tcW w:type="dxa" w:w="2592"/>
            <w:shd w:fill="FFFFFF"/>
            <w:tcMar>
              <w:top w:w="100" w:type="dxa"/>
              <w:bottom w:w="100" w:type="dxa"/>
              <w:left w:w="100" w:type="dxa"/>
              <w:right w:w="100" w:type="dxa"/>
            </w:tcMar>
          </w:tcPr>
          <w:p>
            <w:pPr>
              <w:spacing w:before="40" w:after="40" w:line="276" w:lineRule="auto"/>
              <w:jc w:val="left"/>
            </w:pPr>
            <w:r>
              <w:rPr>
                <w:sz w:val="18"/>
              </w:rPr>
              <w:t>Slows down periodic exception reviews and auditor validation workflows.</w:t>
            </w:r>
          </w:p>
        </w:tc>
        <w:tc>
          <w:tcPr>
            <w:tcW w:type="dxa" w:w="2592"/>
            <w:shd w:fill="FFFFFF"/>
            <w:tcMar>
              <w:top w:w="100" w:type="dxa"/>
              <w:bottom w:w="100" w:type="dxa"/>
              <w:left w:w="100" w:type="dxa"/>
              <w:right w:w="100" w:type="dxa"/>
            </w:tcMar>
          </w:tcPr>
          <w:p>
            <w:pPr>
              <w:spacing w:before="40" w:after="40" w:line="276" w:lineRule="auto"/>
              <w:jc w:val="left"/>
            </w:pPr>
            <w:r>
              <w:rPr>
                <w:sz w:val="18"/>
              </w:rPr>
              <w:t>Add search bar filtering, dynamic column selection, or relegate full grids to an export-optimized detail tab.</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Exception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Uniform text styling without conditional highlighting for expired or imminent policy expirations.</w:t>
            </w:r>
          </w:p>
        </w:tc>
        <w:tc>
          <w:tcPr>
            <w:tcW w:type="dxa" w:w="2592"/>
            <w:shd w:fill="F8F9FA"/>
            <w:tcMar>
              <w:top w:w="100" w:type="dxa"/>
              <w:bottom w:w="100" w:type="dxa"/>
              <w:left w:w="100" w:type="dxa"/>
              <w:right w:w="100" w:type="dxa"/>
            </w:tcMar>
          </w:tcPr>
          <w:p>
            <w:pPr>
              <w:spacing w:before="40" w:after="40" w:line="276" w:lineRule="auto"/>
              <w:jc w:val="left"/>
            </w:pPr>
            <w:r>
              <w:rPr>
                <w:sz w:val="18"/>
              </w:rPr>
              <w:t>Near-expiry policy exceptions go unnoticed until non-compliance alerts trigger.</w:t>
            </w:r>
          </w:p>
        </w:tc>
        <w:tc>
          <w:tcPr>
            <w:tcW w:type="dxa" w:w="2592"/>
            <w:shd w:fill="F8F9FA"/>
            <w:tcMar>
              <w:top w:w="100" w:type="dxa"/>
              <w:bottom w:w="100" w:type="dxa"/>
              <w:left w:w="100" w:type="dxa"/>
              <w:right w:w="100" w:type="dxa"/>
            </w:tcMar>
          </w:tcPr>
          <w:p>
            <w:pPr>
              <w:spacing w:before="40" w:after="40" w:line="276" w:lineRule="auto"/>
              <w:jc w:val="left"/>
            </w:pPr>
            <w:r>
              <w:rPr>
                <w:sz w:val="18"/>
              </w:rPr>
              <w:t>Apply soft conditional fill colors (e.g., Amber for &lt;30 days, Red for Expired) across exception status cells.</w:t>
            </w:r>
          </w:p>
        </w:tc>
      </w:tr>
    </w:tbl>
    <w:p>
      <w:pPr>
        <w:spacing w:after="160"/>
      </w:pPr>
    </w:p>
    <w:p>
      <w:pPr>
        <w:keepNext/>
        <w:spacing w:before="320" w:after="160"/>
      </w:pPr>
      <w:r>
        <w:rPr>
          <w:b/>
          <w:color w:val="0F2043"/>
          <w:sz w:val="28"/>
        </w:rPr>
        <w:t>US Guardrail Catalog</w:t>
      </w:r>
    </w:p>
    <w:tbl>
      <w:tblPr>
        <w:tblW w:type="auto" w:w="0"/>
        <w:jc w:val="center"/>
        <w:tblLayout w:type="fixed"/>
        <w:tblLook w:firstColumn="1" w:firstRow="1" w:lastColumn="0" w:lastRow="0" w:noHBand="0" w:noVBand="1" w:val="04A0"/>
        <w:tblBorders>
          <w:top w:val="single" w:sz="4" w:space="0" w:color="D3D3D3"/>
          <w:left w:val="none"/>
          <w:bottom w:val="single" w:sz="8" w:space="0" w:color="0F2043"/>
          <w:right w:val="none"/>
          <w:insideH w:val="single" w:sz="4" w:space="0" w:color="D3D3D3"/>
          <w:insideV w:val="none"/>
        </w:tblBorders>
      </w:tblPr>
      <w:tblGrid>
        <w:gridCol w:w="2484"/>
        <w:gridCol w:w="2484"/>
        <w:gridCol w:w="2484"/>
        <w:gridCol w:w="2484"/>
      </w:tblGrid>
      <w:tr>
        <w:trPr>
          <w:tblHeader/>
        </w:trPr>
        <w:tc>
          <w:tcPr>
            <w:tcW w:type="dxa" w:w="2160"/>
            <w:shd w:fill="0F2043"/>
            <w:tcMar>
              <w:top w:w="120" w:type="dxa"/>
              <w:bottom w:w="120" w:type="dxa"/>
              <w:left w:w="100" w:type="dxa"/>
              <w:right w:w="100" w:type="dxa"/>
            </w:tcMar>
          </w:tcPr>
          <w:p>
            <w:pPr>
              <w:spacing w:before="40" w:after="40"/>
              <w:jc w:val="left"/>
            </w:pPr>
            <w:r>
              <w:rPr>
                <w:b/>
                <w:color w:val="FFFFFF"/>
                <w:sz w:val="19"/>
              </w:rPr>
              <w:t>Dashboard Name</w:t>
            </w:r>
          </w:p>
        </w:tc>
        <w:tc>
          <w:tcPr>
            <w:tcW w:type="dxa" w:w="2592"/>
            <w:shd w:fill="0F2043"/>
            <w:tcMar>
              <w:top w:w="120" w:type="dxa"/>
              <w:bottom w:w="120" w:type="dxa"/>
              <w:left w:w="100" w:type="dxa"/>
              <w:right w:w="100" w:type="dxa"/>
            </w:tcMar>
          </w:tcPr>
          <w:p>
            <w:pPr>
              <w:spacing w:before="40" w:after="40"/>
              <w:jc w:val="left"/>
            </w:pPr>
            <w:r>
              <w:rPr>
                <w:b/>
                <w:color w:val="FFFFFF"/>
                <w:sz w:val="19"/>
              </w:rPr>
              <w:t>Issue</w:t>
            </w:r>
          </w:p>
        </w:tc>
        <w:tc>
          <w:tcPr>
            <w:tcW w:type="dxa" w:w="2592"/>
            <w:shd w:fill="0F2043"/>
            <w:tcMar>
              <w:top w:w="120" w:type="dxa"/>
              <w:bottom w:w="120" w:type="dxa"/>
              <w:left w:w="100" w:type="dxa"/>
              <w:right w:w="100" w:type="dxa"/>
            </w:tcMar>
          </w:tcPr>
          <w:p>
            <w:pPr>
              <w:spacing w:before="40" w:after="40"/>
              <w:jc w:val="left"/>
            </w:pPr>
            <w:r>
              <w:rPr>
                <w:b/>
                <w:color w:val="FFFFFF"/>
                <w:sz w:val="19"/>
              </w:rPr>
              <w:t>Impact</w:t>
            </w:r>
          </w:p>
        </w:tc>
        <w:tc>
          <w:tcPr>
            <w:tcW w:type="dxa" w:w="2592"/>
            <w:shd w:fill="0F2043"/>
            <w:tcMar>
              <w:top w:w="120" w:type="dxa"/>
              <w:bottom w:w="120" w:type="dxa"/>
              <w:left w:w="100" w:type="dxa"/>
              <w:right w:w="100" w:type="dxa"/>
            </w:tcMar>
          </w:tcPr>
          <w:p>
            <w:pPr>
              <w:spacing w:before="40" w:after="40"/>
              <w:jc w:val="left"/>
            </w:pPr>
            <w:r>
              <w:rPr>
                <w:b/>
                <w:color w:val="FFFFFF"/>
                <w:sz w:val="19"/>
              </w:rPr>
              <w:t>Recommended Action</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Guardrail Catalog</w:t>
            </w:r>
          </w:p>
        </w:tc>
        <w:tc>
          <w:tcPr>
            <w:tcW w:type="dxa" w:w="2592"/>
            <w:shd w:fill="FFFFFF"/>
            <w:tcMar>
              <w:top w:w="100" w:type="dxa"/>
              <w:bottom w:w="100" w:type="dxa"/>
              <w:left w:w="100" w:type="dxa"/>
              <w:right w:w="100" w:type="dxa"/>
            </w:tcMar>
          </w:tcPr>
          <w:p>
            <w:pPr>
              <w:spacing w:before="40" w:after="40" w:line="276" w:lineRule="auto"/>
              <w:jc w:val="left"/>
            </w:pPr>
            <w:r>
              <w:rPr>
                <w:sz w:val="18"/>
              </w:rPr>
              <w:t>Absence of data synchronization/refresh timestamp across guardrail status cards.</w:t>
            </w:r>
          </w:p>
        </w:tc>
        <w:tc>
          <w:tcPr>
            <w:tcW w:type="dxa" w:w="2592"/>
            <w:shd w:fill="FFFFFF"/>
            <w:tcMar>
              <w:top w:w="100" w:type="dxa"/>
              <w:bottom w:w="100" w:type="dxa"/>
              <w:left w:w="100" w:type="dxa"/>
              <w:right w:w="100" w:type="dxa"/>
            </w:tcMar>
          </w:tcPr>
          <w:p>
            <w:pPr>
              <w:spacing w:before="40" w:after="40" w:line="276" w:lineRule="auto"/>
              <w:jc w:val="left"/>
            </w:pPr>
            <w:r>
              <w:rPr>
                <w:sz w:val="18"/>
              </w:rPr>
              <w:t>Engineering teams cannot verify if recent automated policy deployments are captured in the catalog.</w:t>
            </w:r>
          </w:p>
        </w:tc>
        <w:tc>
          <w:tcPr>
            <w:tcW w:type="dxa" w:w="2592"/>
            <w:shd w:fill="FFFFFF"/>
            <w:tcMar>
              <w:top w:w="100" w:type="dxa"/>
              <w:bottom w:w="100" w:type="dxa"/>
              <w:left w:w="100" w:type="dxa"/>
              <w:right w:w="100" w:type="dxa"/>
            </w:tcMar>
          </w:tcPr>
          <w:p>
            <w:pPr>
              <w:spacing w:before="40" w:after="40" w:line="276" w:lineRule="auto"/>
              <w:jc w:val="left"/>
            </w:pPr>
            <w:r>
              <w:rPr>
                <w:sz w:val="18"/>
              </w:rPr>
              <w:t>Include a clear 'Catalog Synchronized At' timestamp in the header bar.</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Guardrail Catalog</w:t>
            </w:r>
          </w:p>
        </w:tc>
        <w:tc>
          <w:tcPr>
            <w:tcW w:type="dxa" w:w="2592"/>
            <w:shd w:fill="F8F9FA"/>
            <w:tcMar>
              <w:top w:w="100" w:type="dxa"/>
              <w:bottom w:w="100" w:type="dxa"/>
              <w:left w:w="100" w:type="dxa"/>
              <w:right w:w="100" w:type="dxa"/>
            </w:tcMar>
          </w:tcPr>
          <w:p>
            <w:pPr>
              <w:spacing w:before="40" w:after="40" w:line="276" w:lineRule="auto"/>
              <w:jc w:val="left"/>
            </w:pPr>
            <w:r>
              <w:rPr>
                <w:sz w:val="18"/>
              </w:rPr>
              <w:t>Overcrowded grid layout attempting to display CSPs, severity levels, layers, and status simultaneously.</w:t>
            </w:r>
          </w:p>
        </w:tc>
        <w:tc>
          <w:tcPr>
            <w:tcW w:type="dxa" w:w="2592"/>
            <w:shd w:fill="F8F9FA"/>
            <w:tcMar>
              <w:top w:w="100" w:type="dxa"/>
              <w:bottom w:w="100" w:type="dxa"/>
              <w:left w:w="100" w:type="dxa"/>
              <w:right w:w="100" w:type="dxa"/>
            </w:tcMar>
          </w:tcPr>
          <w:p>
            <w:pPr>
              <w:spacing w:before="40" w:after="40" w:line="276" w:lineRule="auto"/>
              <w:jc w:val="left"/>
            </w:pPr>
            <w:r>
              <w:rPr>
                <w:sz w:val="18"/>
              </w:rPr>
              <w:t>Creates visual noise, making it difficult for developers to quickly identify applicable guardrail controls.</w:t>
            </w:r>
          </w:p>
        </w:tc>
        <w:tc>
          <w:tcPr>
            <w:tcW w:type="dxa" w:w="2592"/>
            <w:shd w:fill="F8F9FA"/>
            <w:tcMar>
              <w:top w:w="100" w:type="dxa"/>
              <w:bottom w:w="100" w:type="dxa"/>
              <w:left w:w="100" w:type="dxa"/>
              <w:right w:w="100" w:type="dxa"/>
            </w:tcMar>
          </w:tcPr>
          <w:p>
            <w:pPr>
              <w:spacing w:before="40" w:after="40" w:line="276" w:lineRule="auto"/>
              <w:jc w:val="left"/>
            </w:pPr>
            <w:r>
              <w:rPr>
                <w:sz w:val="18"/>
              </w:rPr>
              <w:t>Streamline main view into high-level Guardrail categories and push technical specs into modal/tooltip pages.</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Guardrail Catalog</w:t>
            </w:r>
          </w:p>
        </w:tc>
        <w:tc>
          <w:tcPr>
            <w:tcW w:type="dxa" w:w="2592"/>
            <w:shd w:fill="FFFFFF"/>
            <w:tcMar>
              <w:top w:w="100" w:type="dxa"/>
              <w:bottom w:w="100" w:type="dxa"/>
              <w:left w:w="100" w:type="dxa"/>
              <w:right w:w="100" w:type="dxa"/>
            </w:tcMar>
          </w:tcPr>
          <w:p>
            <w:pPr>
              <w:spacing w:before="40" w:after="40" w:line="276" w:lineRule="auto"/>
              <w:jc w:val="left"/>
            </w:pPr>
            <w:r>
              <w:rPr>
                <w:sz w:val="18"/>
              </w:rPr>
              <w:t>No hover tooltips for Guardrail CSB ID cards or policy status icons.</w:t>
            </w:r>
          </w:p>
        </w:tc>
        <w:tc>
          <w:tcPr>
            <w:tcW w:type="dxa" w:w="2592"/>
            <w:shd w:fill="FFFFFF"/>
            <w:tcMar>
              <w:top w:w="100" w:type="dxa"/>
              <w:bottom w:w="100" w:type="dxa"/>
              <w:left w:w="100" w:type="dxa"/>
              <w:right w:w="100" w:type="dxa"/>
            </w:tcMar>
          </w:tcPr>
          <w:p>
            <w:pPr>
              <w:spacing w:before="40" w:after="40" w:line="276" w:lineRule="auto"/>
              <w:jc w:val="left"/>
            </w:pPr>
            <w:r>
              <w:rPr>
                <w:sz w:val="18"/>
              </w:rPr>
              <w:t>Users must click into separate views to inspect guardrail control objectives and remediation workflows.</w:t>
            </w:r>
          </w:p>
        </w:tc>
        <w:tc>
          <w:tcPr>
            <w:tcW w:type="dxa" w:w="2592"/>
            <w:shd w:fill="FFFFFF"/>
            <w:tcMar>
              <w:top w:w="100" w:type="dxa"/>
              <w:bottom w:w="100" w:type="dxa"/>
              <w:left w:w="100" w:type="dxa"/>
              <w:right w:w="100" w:type="dxa"/>
            </w:tcMar>
          </w:tcPr>
          <w:p>
            <w:pPr>
              <w:spacing w:before="40" w:after="40" w:line="276" w:lineRule="auto"/>
              <w:jc w:val="left"/>
            </w:pPr>
            <w:r>
              <w:rPr>
                <w:sz w:val="18"/>
              </w:rPr>
              <w:t>Create hover tooltips detailing Guardrail descriptions, remediation type (Auto/Manual), and control frameworks.</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Guardrail Catalog</w:t>
            </w:r>
          </w:p>
        </w:tc>
        <w:tc>
          <w:tcPr>
            <w:tcW w:type="dxa" w:w="2592"/>
            <w:shd w:fill="F8F9FA"/>
            <w:tcMar>
              <w:top w:w="100" w:type="dxa"/>
              <w:bottom w:w="100" w:type="dxa"/>
              <w:left w:w="100" w:type="dxa"/>
              <w:right w:w="100" w:type="dxa"/>
            </w:tcMar>
          </w:tcPr>
          <w:p>
            <w:pPr>
              <w:spacing w:before="40" w:after="40" w:line="276" w:lineRule="auto"/>
              <w:jc w:val="left"/>
            </w:pPr>
            <w:r>
              <w:rPr>
                <w:sz w:val="18"/>
              </w:rPr>
              <w:t>Missing direct drill-through from Guardrail summary counts to impacted cloud account inventories.</w:t>
            </w:r>
          </w:p>
        </w:tc>
        <w:tc>
          <w:tcPr>
            <w:tcW w:type="dxa" w:w="2592"/>
            <w:shd w:fill="F8F9FA"/>
            <w:tcMar>
              <w:top w:w="100" w:type="dxa"/>
              <w:bottom w:w="100" w:type="dxa"/>
              <w:left w:w="100" w:type="dxa"/>
              <w:right w:w="100" w:type="dxa"/>
            </w:tcMar>
          </w:tcPr>
          <w:p>
            <w:pPr>
              <w:spacing w:before="40" w:after="40" w:line="276" w:lineRule="auto"/>
              <w:jc w:val="left"/>
            </w:pPr>
            <w:r>
              <w:rPr>
                <w:sz w:val="18"/>
              </w:rPr>
              <w:t>Hinders engineering teams from assessing which specific subscriptions/accounts lack active guardrail enforcement.</w:t>
            </w:r>
          </w:p>
        </w:tc>
        <w:tc>
          <w:tcPr>
            <w:tcW w:type="dxa" w:w="2592"/>
            <w:shd w:fill="F8F9FA"/>
            <w:tcMar>
              <w:top w:w="100" w:type="dxa"/>
              <w:bottom w:w="100" w:type="dxa"/>
              <w:left w:w="100" w:type="dxa"/>
              <w:right w:w="100" w:type="dxa"/>
            </w:tcMar>
          </w:tcPr>
          <w:p>
            <w:pPr>
              <w:spacing w:before="40" w:after="40" w:line="276" w:lineRule="auto"/>
              <w:jc w:val="left"/>
            </w:pPr>
            <w:r>
              <w:rPr>
                <w:sz w:val="18"/>
              </w:rPr>
              <w:t>Implement drill-through actions from Guardrail tiles to an Account Compliance drill-down page.</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US Guardrail Catalog</w:t>
            </w:r>
          </w:p>
        </w:tc>
        <w:tc>
          <w:tcPr>
            <w:tcW w:type="dxa" w:w="2592"/>
            <w:shd w:fill="FFFFFF"/>
            <w:tcMar>
              <w:top w:w="100" w:type="dxa"/>
              <w:bottom w:w="100" w:type="dxa"/>
              <w:left w:w="100" w:type="dxa"/>
              <w:right w:w="100" w:type="dxa"/>
            </w:tcMar>
          </w:tcPr>
          <w:p>
            <w:pPr>
              <w:spacing w:before="40" w:after="40" w:line="276" w:lineRule="auto"/>
              <w:jc w:val="left"/>
            </w:pPr>
            <w:r>
              <w:rPr>
                <w:sz w:val="18"/>
              </w:rPr>
              <w:t>Unpaginated guardrail listing cards requiring continuous scrolling across large asset classes.</w:t>
            </w:r>
          </w:p>
        </w:tc>
        <w:tc>
          <w:tcPr>
            <w:tcW w:type="dxa" w:w="2592"/>
            <w:shd w:fill="FFFFFF"/>
            <w:tcMar>
              <w:top w:w="100" w:type="dxa"/>
              <w:bottom w:w="100" w:type="dxa"/>
              <w:left w:w="100" w:type="dxa"/>
              <w:right w:w="100" w:type="dxa"/>
            </w:tcMar>
          </w:tcPr>
          <w:p>
            <w:pPr>
              <w:spacing w:before="40" w:after="40" w:line="276" w:lineRule="auto"/>
              <w:jc w:val="left"/>
            </w:pPr>
            <w:r>
              <w:rPr>
                <w:sz w:val="18"/>
              </w:rPr>
              <w:t>Inconvenient user experience when searching for specific Guardrail IDs (e.g., CSB_0200).</w:t>
            </w:r>
          </w:p>
        </w:tc>
        <w:tc>
          <w:tcPr>
            <w:tcW w:type="dxa" w:w="2592"/>
            <w:shd w:fill="FFFFFF"/>
            <w:tcMar>
              <w:top w:w="100" w:type="dxa"/>
              <w:bottom w:w="100" w:type="dxa"/>
              <w:left w:w="100" w:type="dxa"/>
              <w:right w:w="100" w:type="dxa"/>
            </w:tcMar>
          </w:tcPr>
          <w:p>
            <w:pPr>
              <w:spacing w:before="40" w:after="40" w:line="276" w:lineRule="auto"/>
              <w:jc w:val="left"/>
            </w:pPr>
            <w:r>
              <w:rPr>
                <w:sz w:val="18"/>
              </w:rPr>
              <w:t>Implement category tabs, keyword search slicers, and structured pagination for guardrail cards.</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US Guardrail Catalog</w:t>
            </w:r>
          </w:p>
        </w:tc>
        <w:tc>
          <w:tcPr>
            <w:tcW w:type="dxa" w:w="2592"/>
            <w:shd w:fill="F8F9FA"/>
            <w:tcMar>
              <w:top w:w="100" w:type="dxa"/>
              <w:bottom w:w="100" w:type="dxa"/>
              <w:left w:w="100" w:type="dxa"/>
              <w:right w:w="100" w:type="dxa"/>
            </w:tcMar>
          </w:tcPr>
          <w:p>
            <w:pPr>
              <w:spacing w:before="40" w:after="40" w:line="276" w:lineRule="auto"/>
              <w:jc w:val="left"/>
            </w:pPr>
            <w:r>
              <w:rPr>
                <w:sz w:val="18"/>
              </w:rPr>
              <w:t>Monochromatic card presentation without visual status indicators for inactive or failing guardrails.</w:t>
            </w:r>
          </w:p>
        </w:tc>
        <w:tc>
          <w:tcPr>
            <w:tcW w:type="dxa" w:w="2592"/>
            <w:shd w:fill="F8F9FA"/>
            <w:tcMar>
              <w:top w:w="100" w:type="dxa"/>
              <w:bottom w:w="100" w:type="dxa"/>
              <w:left w:w="100" w:type="dxa"/>
              <w:right w:w="100" w:type="dxa"/>
            </w:tcMar>
          </w:tcPr>
          <w:p>
            <w:pPr>
              <w:spacing w:before="40" w:after="40" w:line="276" w:lineRule="auto"/>
              <w:jc w:val="left"/>
            </w:pPr>
            <w:r>
              <w:rPr>
                <w:sz w:val="18"/>
              </w:rPr>
              <w:t>Failing guardrails do not draw immediate engineering attention during operational reviews.</w:t>
            </w:r>
          </w:p>
        </w:tc>
        <w:tc>
          <w:tcPr>
            <w:tcW w:type="dxa" w:w="2592"/>
            <w:shd w:fill="F8F9FA"/>
            <w:tcMar>
              <w:top w:w="100" w:type="dxa"/>
              <w:bottom w:w="100" w:type="dxa"/>
              <w:left w:w="100" w:type="dxa"/>
              <w:right w:w="100" w:type="dxa"/>
            </w:tcMar>
          </w:tcPr>
          <w:p>
            <w:pPr>
              <w:spacing w:before="40" w:after="40" w:line="276" w:lineRule="auto"/>
              <w:jc w:val="left"/>
            </w:pPr>
            <w:r>
              <w:rPr>
                <w:sz w:val="18"/>
              </w:rPr>
              <w:t>Introduce visual status icons (Checkmark/Warning/Cross) and conditional color borders on guardrail cards.</w:t>
            </w:r>
          </w:p>
        </w:tc>
      </w:tr>
    </w:tbl>
    <w:p>
      <w:pPr>
        <w:spacing w:after="160"/>
      </w:pPr>
    </w:p>
    <w:p>
      <w:pPr>
        <w:keepNext/>
        <w:spacing w:before="320" w:after="160"/>
      </w:pPr>
      <w:r>
        <w:rPr>
          <w:b/>
          <w:color w:val="0F2043"/>
          <w:sz w:val="28"/>
        </w:rPr>
        <w:t>Weekly Operational Dashboard</w:t>
      </w:r>
    </w:p>
    <w:tbl>
      <w:tblPr>
        <w:tblW w:type="auto" w:w="0"/>
        <w:jc w:val="center"/>
        <w:tblLayout w:type="fixed"/>
        <w:tblLook w:firstColumn="1" w:firstRow="1" w:lastColumn="0" w:lastRow="0" w:noHBand="0" w:noVBand="1" w:val="04A0"/>
        <w:tblBorders>
          <w:top w:val="single" w:sz="4" w:space="0" w:color="D3D3D3"/>
          <w:left w:val="none"/>
          <w:bottom w:val="single" w:sz="8" w:space="0" w:color="0F2043"/>
          <w:right w:val="none"/>
          <w:insideH w:val="single" w:sz="4" w:space="0" w:color="D3D3D3"/>
          <w:insideV w:val="none"/>
        </w:tblBorders>
      </w:tblPr>
      <w:tblGrid>
        <w:gridCol w:w="2484"/>
        <w:gridCol w:w="2484"/>
        <w:gridCol w:w="2484"/>
        <w:gridCol w:w="2484"/>
      </w:tblGrid>
      <w:tr>
        <w:trPr>
          <w:tblHeader/>
        </w:trPr>
        <w:tc>
          <w:tcPr>
            <w:tcW w:type="dxa" w:w="2160"/>
            <w:shd w:fill="0F2043"/>
            <w:tcMar>
              <w:top w:w="120" w:type="dxa"/>
              <w:bottom w:w="120" w:type="dxa"/>
              <w:left w:w="100" w:type="dxa"/>
              <w:right w:w="100" w:type="dxa"/>
            </w:tcMar>
          </w:tcPr>
          <w:p>
            <w:pPr>
              <w:spacing w:before="40" w:after="40"/>
              <w:jc w:val="left"/>
            </w:pPr>
            <w:r>
              <w:rPr>
                <w:b/>
                <w:color w:val="FFFFFF"/>
                <w:sz w:val="19"/>
              </w:rPr>
              <w:t>Dashboard Name</w:t>
            </w:r>
          </w:p>
        </w:tc>
        <w:tc>
          <w:tcPr>
            <w:tcW w:type="dxa" w:w="2592"/>
            <w:shd w:fill="0F2043"/>
            <w:tcMar>
              <w:top w:w="120" w:type="dxa"/>
              <w:bottom w:w="120" w:type="dxa"/>
              <w:left w:w="100" w:type="dxa"/>
              <w:right w:w="100" w:type="dxa"/>
            </w:tcMar>
          </w:tcPr>
          <w:p>
            <w:pPr>
              <w:spacing w:before="40" w:after="40"/>
              <w:jc w:val="left"/>
            </w:pPr>
            <w:r>
              <w:rPr>
                <w:b/>
                <w:color w:val="FFFFFF"/>
                <w:sz w:val="19"/>
              </w:rPr>
              <w:t>Issue</w:t>
            </w:r>
          </w:p>
        </w:tc>
        <w:tc>
          <w:tcPr>
            <w:tcW w:type="dxa" w:w="2592"/>
            <w:shd w:fill="0F2043"/>
            <w:tcMar>
              <w:top w:w="120" w:type="dxa"/>
              <w:bottom w:w="120" w:type="dxa"/>
              <w:left w:w="100" w:type="dxa"/>
              <w:right w:w="100" w:type="dxa"/>
            </w:tcMar>
          </w:tcPr>
          <w:p>
            <w:pPr>
              <w:spacing w:before="40" w:after="40"/>
              <w:jc w:val="left"/>
            </w:pPr>
            <w:r>
              <w:rPr>
                <w:b/>
                <w:color w:val="FFFFFF"/>
                <w:sz w:val="19"/>
              </w:rPr>
              <w:t>Impact</w:t>
            </w:r>
          </w:p>
        </w:tc>
        <w:tc>
          <w:tcPr>
            <w:tcW w:type="dxa" w:w="2592"/>
            <w:shd w:fill="0F2043"/>
            <w:tcMar>
              <w:top w:w="120" w:type="dxa"/>
              <w:bottom w:w="120" w:type="dxa"/>
              <w:left w:w="100" w:type="dxa"/>
              <w:right w:w="100" w:type="dxa"/>
            </w:tcMar>
          </w:tcPr>
          <w:p>
            <w:pPr>
              <w:spacing w:before="40" w:after="40"/>
              <w:jc w:val="left"/>
            </w:pPr>
            <w:r>
              <w:rPr>
                <w:b/>
                <w:color w:val="FFFFFF"/>
                <w:sz w:val="19"/>
              </w:rPr>
              <w:t>Recommended Action</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Weekly Operational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Missing operational refresh timestamp for weekly reporting windows.</w:t>
            </w:r>
          </w:p>
        </w:tc>
        <w:tc>
          <w:tcPr>
            <w:tcW w:type="dxa" w:w="2592"/>
            <w:shd w:fill="FFFFFF"/>
            <w:tcMar>
              <w:top w:w="100" w:type="dxa"/>
              <w:bottom w:w="100" w:type="dxa"/>
              <w:left w:w="100" w:type="dxa"/>
              <w:right w:w="100" w:type="dxa"/>
            </w:tcMar>
          </w:tcPr>
          <w:p>
            <w:pPr>
              <w:spacing w:before="40" w:after="40" w:line="276" w:lineRule="auto"/>
              <w:jc w:val="left"/>
            </w:pPr>
            <w:r>
              <w:rPr>
                <w:sz w:val="18"/>
              </w:rPr>
              <w:t>Operational teams cannot determine whether weekly metrics reflect current-week or past-week baseline data.</w:t>
            </w:r>
          </w:p>
        </w:tc>
        <w:tc>
          <w:tcPr>
            <w:tcW w:type="dxa" w:w="2592"/>
            <w:shd w:fill="FFFFFF"/>
            <w:tcMar>
              <w:top w:w="100" w:type="dxa"/>
              <w:bottom w:w="100" w:type="dxa"/>
              <w:left w:w="100" w:type="dxa"/>
              <w:right w:w="100" w:type="dxa"/>
            </w:tcMar>
          </w:tcPr>
          <w:p>
            <w:pPr>
              <w:spacing w:before="40" w:after="40" w:line="276" w:lineRule="auto"/>
              <w:jc w:val="left"/>
            </w:pPr>
            <w:r>
              <w:rPr>
                <w:sz w:val="18"/>
              </w:rPr>
              <w:t>Add prominent 'Weekly Data Cut-off Date' and 'Last Refreshed' text callouts to the reporting header.</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Weekly Operational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Dense side-by-side alignment of All Vulnerabilities and Actionable Vulnerabilities grids on a single tab.</w:t>
            </w:r>
          </w:p>
        </w:tc>
        <w:tc>
          <w:tcPr>
            <w:tcW w:type="dxa" w:w="2592"/>
            <w:shd w:fill="F8F9FA"/>
            <w:tcMar>
              <w:top w:w="100" w:type="dxa"/>
              <w:bottom w:w="100" w:type="dxa"/>
              <w:left w:w="100" w:type="dxa"/>
              <w:right w:w="100" w:type="dxa"/>
            </w:tcMar>
          </w:tcPr>
          <w:p>
            <w:pPr>
              <w:spacing w:before="40" w:after="40" w:line="276" w:lineRule="auto"/>
              <w:jc w:val="left"/>
            </w:pPr>
            <w:r>
              <w:rPr>
                <w:sz w:val="18"/>
              </w:rPr>
              <w:t>Causes cramped data tables with truncated tenant names and numbers, impacting visual comprehension.</w:t>
            </w:r>
          </w:p>
        </w:tc>
        <w:tc>
          <w:tcPr>
            <w:tcW w:type="dxa" w:w="2592"/>
            <w:shd w:fill="F8F9FA"/>
            <w:tcMar>
              <w:top w:w="100" w:type="dxa"/>
              <w:bottom w:w="100" w:type="dxa"/>
              <w:left w:w="100" w:type="dxa"/>
              <w:right w:w="100" w:type="dxa"/>
            </w:tcMar>
          </w:tcPr>
          <w:p>
            <w:pPr>
              <w:spacing w:before="40" w:after="40" w:line="276" w:lineRule="auto"/>
              <w:jc w:val="left"/>
            </w:pPr>
            <w:r>
              <w:rPr>
                <w:sz w:val="18"/>
              </w:rPr>
              <w:t>Reorganize into a vertical toggle or structured tabbed layout comparing total vs. actionable weekly metrics.</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Weekly Operational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Lack of hover tooltips on tenant-level CVE change percentages and volume shifts.</w:t>
            </w:r>
          </w:p>
        </w:tc>
        <w:tc>
          <w:tcPr>
            <w:tcW w:type="dxa" w:w="2592"/>
            <w:shd w:fill="FFFFFF"/>
            <w:tcMar>
              <w:top w:w="100" w:type="dxa"/>
              <w:bottom w:w="100" w:type="dxa"/>
              <w:left w:w="100" w:type="dxa"/>
              <w:right w:w="100" w:type="dxa"/>
            </w:tcMar>
          </w:tcPr>
          <w:p>
            <w:pPr>
              <w:spacing w:before="40" w:after="40" w:line="276" w:lineRule="auto"/>
              <w:jc w:val="left"/>
            </w:pPr>
            <w:r>
              <w:rPr>
                <w:sz w:val="18"/>
              </w:rPr>
              <w:t>Operations teams cannot see underlying CVE breakdown (Critical vs High) without slicing the entire report.</w:t>
            </w:r>
          </w:p>
        </w:tc>
        <w:tc>
          <w:tcPr>
            <w:tcW w:type="dxa" w:w="2592"/>
            <w:shd w:fill="FFFFFF"/>
            <w:tcMar>
              <w:top w:w="100" w:type="dxa"/>
              <w:bottom w:w="100" w:type="dxa"/>
              <w:left w:w="100" w:type="dxa"/>
              <w:right w:w="100" w:type="dxa"/>
            </w:tcMar>
          </w:tcPr>
          <w:p>
            <w:pPr>
              <w:spacing w:before="40" w:after="40" w:line="276" w:lineRule="auto"/>
              <w:jc w:val="left"/>
            </w:pPr>
            <w:r>
              <w:rPr>
                <w:sz w:val="18"/>
              </w:rPr>
              <w:t>Embed a detail tooltip graph showing CVE severity breakdown when hovering over tenant change percentages.</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Weekly Operational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No drill-through mechanism from tenant summary rows to individual CVE details or affected asset lists.</w:t>
            </w:r>
          </w:p>
        </w:tc>
        <w:tc>
          <w:tcPr>
            <w:tcW w:type="dxa" w:w="2592"/>
            <w:shd w:fill="F8F9FA"/>
            <w:tcMar>
              <w:top w:w="100" w:type="dxa"/>
              <w:bottom w:w="100" w:type="dxa"/>
              <w:left w:w="100" w:type="dxa"/>
              <w:right w:w="100" w:type="dxa"/>
            </w:tcMar>
          </w:tcPr>
          <w:p>
            <w:pPr>
              <w:spacing w:before="40" w:after="40" w:line="276" w:lineRule="auto"/>
              <w:jc w:val="left"/>
            </w:pPr>
            <w:r>
              <w:rPr>
                <w:sz w:val="18"/>
              </w:rPr>
              <w:t>Remediation leads cannot quickly pivot from weekly tenant spikes to specific actionable workload lists.</w:t>
            </w:r>
          </w:p>
        </w:tc>
        <w:tc>
          <w:tcPr>
            <w:tcW w:type="dxa" w:w="2592"/>
            <w:shd w:fill="F8F9FA"/>
            <w:tcMar>
              <w:top w:w="100" w:type="dxa"/>
              <w:bottom w:w="100" w:type="dxa"/>
              <w:left w:w="100" w:type="dxa"/>
              <w:right w:w="100" w:type="dxa"/>
            </w:tcMar>
          </w:tcPr>
          <w:p>
            <w:pPr>
              <w:spacing w:before="40" w:after="40" w:line="276" w:lineRule="auto"/>
              <w:jc w:val="left"/>
            </w:pPr>
            <w:r>
              <w:rPr>
                <w:sz w:val="18"/>
              </w:rPr>
              <w:t>Add drill-through navigation from tenant table rows directly to detailed Asset &amp; CVE Remediation sub-pages.</w:t>
            </w:r>
          </w:p>
        </w:tc>
      </w:tr>
      <w:tr>
        <w:trPr>
          <w:cantSplit/>
        </w:trPr>
        <w:tc>
          <w:tcPr>
            <w:tcW w:type="dxa" w:w="2160"/>
            <w:shd w:fill="FFFFFF"/>
            <w:tcMar>
              <w:top w:w="100" w:type="dxa"/>
              <w:bottom w:w="100" w:type="dxa"/>
              <w:left w:w="100" w:type="dxa"/>
              <w:right w:w="100" w:type="dxa"/>
            </w:tcMar>
          </w:tcPr>
          <w:p>
            <w:pPr>
              <w:spacing w:before="40" w:after="40" w:line="276" w:lineRule="auto"/>
              <w:jc w:val="left"/>
            </w:pPr>
            <w:r>
              <w:rPr>
                <w:b/>
                <w:color w:val="0F2043"/>
                <w:sz w:val="18"/>
              </w:rPr>
              <w:t>Weekly Operational Dashboard</w:t>
            </w:r>
          </w:p>
        </w:tc>
        <w:tc>
          <w:tcPr>
            <w:tcW w:type="dxa" w:w="2592"/>
            <w:shd w:fill="FFFFFF"/>
            <w:tcMar>
              <w:top w:w="100" w:type="dxa"/>
              <w:bottom w:w="100" w:type="dxa"/>
              <w:left w:w="100" w:type="dxa"/>
              <w:right w:w="100" w:type="dxa"/>
            </w:tcMar>
          </w:tcPr>
          <w:p>
            <w:pPr>
              <w:spacing w:before="40" w:after="40" w:line="276" w:lineRule="auto"/>
              <w:jc w:val="left"/>
            </w:pPr>
            <w:r>
              <w:rPr>
                <w:sz w:val="18"/>
              </w:rPr>
              <w:t>Tenant vulnerability matrix requires excessive scrolling to compare past vs. current week counts.</w:t>
            </w:r>
          </w:p>
        </w:tc>
        <w:tc>
          <w:tcPr>
            <w:tcW w:type="dxa" w:w="2592"/>
            <w:shd w:fill="FFFFFF"/>
            <w:tcMar>
              <w:top w:w="100" w:type="dxa"/>
              <w:bottom w:w="100" w:type="dxa"/>
              <w:left w:w="100" w:type="dxa"/>
              <w:right w:w="100" w:type="dxa"/>
            </w:tcMar>
          </w:tcPr>
          <w:p>
            <w:pPr>
              <w:spacing w:before="40" w:after="40" w:line="276" w:lineRule="auto"/>
              <w:jc w:val="left"/>
            </w:pPr>
            <w:r>
              <w:rPr>
                <w:sz w:val="18"/>
              </w:rPr>
              <w:t>Impairs efficient operational review during weekly cross-team status syncs.</w:t>
            </w:r>
          </w:p>
        </w:tc>
        <w:tc>
          <w:tcPr>
            <w:tcW w:type="dxa" w:w="2592"/>
            <w:shd w:fill="FFFFFF"/>
            <w:tcMar>
              <w:top w:w="100" w:type="dxa"/>
              <w:bottom w:w="100" w:type="dxa"/>
              <w:left w:w="100" w:type="dxa"/>
              <w:right w:w="100" w:type="dxa"/>
            </w:tcMar>
          </w:tcPr>
          <w:p>
            <w:pPr>
              <w:spacing w:before="40" w:after="40" w:line="276" w:lineRule="auto"/>
              <w:jc w:val="left"/>
            </w:pPr>
            <w:r>
              <w:rPr>
                <w:sz w:val="18"/>
              </w:rPr>
              <w:t>Add quick-sort capabilities, top-10 offender filters, and clean table pagination.</w:t>
            </w:r>
          </w:p>
        </w:tc>
      </w:tr>
      <w:tr>
        <w:trPr>
          <w:cantSplit/>
        </w:trPr>
        <w:tc>
          <w:tcPr>
            <w:tcW w:type="dxa" w:w="2160"/>
            <w:shd w:fill="F8F9FA"/>
            <w:tcMar>
              <w:top w:w="100" w:type="dxa"/>
              <w:bottom w:w="100" w:type="dxa"/>
              <w:left w:w="100" w:type="dxa"/>
              <w:right w:w="100" w:type="dxa"/>
            </w:tcMar>
          </w:tcPr>
          <w:p>
            <w:pPr>
              <w:spacing w:before="40" w:after="40" w:line="276" w:lineRule="auto"/>
              <w:jc w:val="left"/>
            </w:pPr>
            <w:r>
              <w:rPr>
                <w:b/>
                <w:color w:val="0F2043"/>
                <w:sz w:val="18"/>
              </w:rPr>
              <w:t>Weekly Operational Dashboard</w:t>
            </w:r>
          </w:p>
        </w:tc>
        <w:tc>
          <w:tcPr>
            <w:tcW w:type="dxa" w:w="2592"/>
            <w:shd w:fill="F8F9FA"/>
            <w:tcMar>
              <w:top w:w="100" w:type="dxa"/>
              <w:bottom w:w="100" w:type="dxa"/>
              <w:left w:w="100" w:type="dxa"/>
              <w:right w:w="100" w:type="dxa"/>
            </w:tcMar>
          </w:tcPr>
          <w:p>
            <w:pPr>
              <w:spacing w:before="40" w:after="40" w:line="276" w:lineRule="auto"/>
              <w:jc w:val="left"/>
            </w:pPr>
            <w:r>
              <w:rPr>
                <w:sz w:val="18"/>
              </w:rPr>
              <w:t>No conditional visual coding for significant week-over-week vulnerability spikes (e.g., &gt;50% increase).</w:t>
            </w:r>
          </w:p>
        </w:tc>
        <w:tc>
          <w:tcPr>
            <w:tcW w:type="dxa" w:w="2592"/>
            <w:shd w:fill="F8F9FA"/>
            <w:tcMar>
              <w:top w:w="100" w:type="dxa"/>
              <w:bottom w:w="100" w:type="dxa"/>
              <w:left w:w="100" w:type="dxa"/>
              <w:right w:w="100" w:type="dxa"/>
            </w:tcMar>
          </w:tcPr>
          <w:p>
            <w:pPr>
              <w:spacing w:before="40" w:after="40" w:line="276" w:lineRule="auto"/>
              <w:jc w:val="left"/>
            </w:pPr>
            <w:r>
              <w:rPr>
                <w:sz w:val="18"/>
              </w:rPr>
              <w:t>Severe spikes in tenant vulnerabilities blend into minor fluctuations, delaying rapid containment.</w:t>
            </w:r>
          </w:p>
        </w:tc>
        <w:tc>
          <w:tcPr>
            <w:tcW w:type="dxa" w:w="2592"/>
            <w:shd w:fill="F8F9FA"/>
            <w:tcMar>
              <w:top w:w="100" w:type="dxa"/>
              <w:bottom w:w="100" w:type="dxa"/>
              <w:left w:w="100" w:type="dxa"/>
              <w:right w:w="100" w:type="dxa"/>
            </w:tcMar>
          </w:tcPr>
          <w:p>
            <w:pPr>
              <w:spacing w:before="40" w:after="40" w:line="276" w:lineRule="auto"/>
              <w:jc w:val="left"/>
            </w:pPr>
            <w:r>
              <w:rPr>
                <w:sz w:val="18"/>
              </w:rPr>
              <w:t>Implement conditional text/icon formatting (Red Up Arrow for &gt;20% increase, Green Down Arrow for reduction).</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