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Sentry Dashboard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1.</w:t>
      </w:r>
    </w:p>
    <w:p>
      <w:pPr>
        <w:spacing w:after="120" w:before="80"/>
      </w:pPr>
      <w:r>
        <w:drawing>
          <wp:inline distT="0" distB="0" distL="0" distR="0">
            <wp:extent cx="3495675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Single-value tile showing the total number of cloud accounts onboarded across all Lines of Business (LOBs), tenants, and Cloud Service Providers.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Filter Dashboard on: LOB = All, Tenant = All, Cloud Service Provider = All</w:t>
      </w:r>
    </w:p>
    <w:p>
      <w:pPr>
        <w:spacing w:after="100"/>
      </w:pPr>
      <w:r>
        <w:t xml:space="preserve">Count Distinct Account ID across all onboarded accounts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 the current total account count (4513) reflecting all filter selections applied at the top of the dashboard.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Add a month-over-month trend indicator (e.g., arrow/percentage) next to the total so users can see onboarding velocity at a glance.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2.</w:t>
      </w:r>
    </w:p>
    <w:p>
      <w:pPr>
        <w:spacing w:after="120" w:before="80"/>
      </w:pPr>
      <w:r>
        <w:drawing>
          <wp:inline distT="0" distB="0" distL="0" distR="0">
            <wp:extent cx="3495675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Single-value tile showing the number of accounts currently in an Error state.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Filter Dashboard on: Account Status = Error</w:t>
      </w:r>
    </w:p>
    <w:p>
      <w:pPr>
        <w:spacing w:after="100"/>
      </w:pPr>
      <w:r>
        <w:t xml:space="preserve">Count Distinct Account ID where Account Status = Error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 the current count of accounts with errors (70).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Make the tile clickable to drill directly into the filtered list of erroring accounts, consistent with the Detailed Logs pattern used elsewhere on the dashboard.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3.</w:t>
      </w:r>
    </w:p>
    <w:p>
      <w:pPr>
        <w:spacing w:after="120" w:before="80"/>
      </w:pPr>
      <w:r>
        <w:drawing>
          <wp:inline distT="0" distB="0" distL="0" distR="0">
            <wp:extent cx="3495675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Single-value tile showing the number of accounts currently in a Warning state.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Filter Dashboard on: Account Status = Warning</w:t>
      </w:r>
    </w:p>
    <w:p>
      <w:pPr>
        <w:spacing w:after="100"/>
      </w:pPr>
      <w:r>
        <w:t xml:space="preserve">Count Distinct Account ID where Account Status = Warning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 the current count of accounts with warnings (2100).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Split by Category so users can see which categories (Agentless Scanning, Audit Logs, Authentication, etc.) are driving the warning volume without opening the detail table below.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4.</w:t>
      </w:r>
    </w:p>
    <w:p>
      <w:pPr>
        <w:spacing w:after="120" w:before="80"/>
      </w:pPr>
      <w:r>
        <w:drawing>
          <wp:inline distT="0" distB="0" distL="0" distR="0">
            <wp:extent cx="349567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Single-value tile showing total platform credits consumed across all onboarded services.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Filter Dashboard on: LOB = All, Tenant = All</w:t>
      </w:r>
    </w:p>
    <w:p>
      <w:pPr>
        <w:spacing w:after="100"/>
      </w:pPr>
      <w:r>
        <w:t xml:space="preserve">Sum of Credits Utilized across all Services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 the current total credits utilized (29,961), aggregated across all services shown in the Credit Utilization by Service panel.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Add a secondary label showing credits remaining / total allocation so utilization can be read as a percentage rather than a raw count.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5.</w:t>
      </w:r>
    </w:p>
    <w:p>
      <w:pPr>
        <w:spacing w:after="120" w:before="80"/>
      </w:pPr>
      <w:r>
        <w:drawing>
          <wp:inline distT="0" distB="0" distL="0" distR="0">
            <wp:extent cx="3495675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Table view showing account health broken down by security category, so users can see where Warnings/Errors are concentrated.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Group accounts by Category (Agentless Scanning, Audit Logs, Authentication, Auto Protect, Compute Discovery, etc.)</w:t>
      </w:r>
    </w:p>
    <w:p>
      <w:pPr>
        <w:spacing w:after="100"/>
      </w:pPr>
      <w:r>
        <w:t xml:space="preserve">Count Distinct Account ID per Category, split by Status (Warning, Error, OK)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Shows, per Category, the total Accounts, Warning count, Error count, and OK count. A "Detailed Logs" button opens the underlying account-level records.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Add sorting by Error count descending by default so the highest-risk categories surface to the top of the table.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6.</w:t>
      </w:r>
    </w:p>
    <w:p>
      <w:pPr>
        <w:spacing w:after="120" w:before="80"/>
      </w:pPr>
      <w:r>
        <w:drawing>
          <wp:inline distT="0" distB="0" distL="0" distR="0">
            <wp:extent cx="3495675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Area/line chart showing the number of new accounts onboarded per month, to track onboarding trends over time.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Group Accounts by Onboarded Month</w:t>
      </w:r>
    </w:p>
    <w:p>
      <w:pPr>
        <w:spacing w:after="100"/>
      </w:pPr>
      <w:r>
        <w:t xml:space="preserve">Count Distinct Account ID per month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 monthly onboarding volume from May 2025 through March 2026, including a large spike (~1,419) in one month and a smaller secondary spike (~432) later in the period.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Annotate the spike months with tooltips explaining the cause (e.g., bulk migration, new tenant onboarding) so viewers don't misread them as anomalies.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7.</w:t>
      </w:r>
    </w:p>
    <w:p>
      <w:pPr>
        <w:spacing w:after="120" w:before="80"/>
      </w:pPr>
      <w:r>
        <w:drawing>
          <wp:inline distT="0" distB="0" distL="0" distR="0">
            <wp:extent cx="3495675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Table view showing account health broken down by Cloud Service Provider (AWS, Azure, GCP).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Group Accounts by Cloud Provider</w:t>
      </w:r>
    </w:p>
    <w:p>
      <w:pPr>
        <w:spacing w:after="100"/>
      </w:pPr>
      <w:r>
        <w:t xml:space="preserve">Count Distinct Account ID per provider, split by Status (Warning, Error, OK)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Shows, per Cloud Provider, the Warning, Error, and OK counts using colored status indicators (amber/red/green). Toggle buttons at the top allow switching the grouping to LOB or Tenant.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Keep the same color legend visible on this panel (currently only implied by the dots) so it is unambiguous without cross-referencing the Account Status by Category table.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8.</w:t>
      </w:r>
    </w:p>
    <w:p>
      <w:pPr>
        <w:spacing w:after="120" w:before="80"/>
      </w:pPr>
      <w:r>
        <w:drawing>
          <wp:inline distT="0" distB="0" distL="0" distR="0">
            <wp:extent cx="3495675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Horizontal bar chart showing platform credit consumption broken down by service type.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Group Credits Utilized by Service (foundation, data_store, cloud_security_agent, container, container_cam, host, serverless, waas)</w:t>
      </w:r>
    </w:p>
    <w:p>
      <w:pPr>
        <w:spacing w:after="100"/>
      </w:pPr>
      <w:r>
        <w:t xml:space="preserve">Sum Credits Utilized per Service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 that "foundation" (27,690) and "data_store" (2,271) are the dominant consumers of credits, while the remaining services show negligible or zero utilization in the current filter selection.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Collapse or hide services with zero utilization by default to reduce visual clutter, with an option to show all services on demand.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9.</w:t>
      </w:r>
    </w:p>
    <w:p>
      <w:pPr>
        <w:spacing w:after="120" w:before="80"/>
      </w:pPr>
      <w:r>
        <w:drawing>
          <wp:inline distT="0" distB="0" distL="0" distR="0">
            <wp:extent cx="3495675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Area chart showing total credit utilization trending by month, to track consumption over time relative to allocation.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Group Credits Utilized by Month</w:t>
      </w:r>
    </w:p>
    <w:p>
      <w:pPr>
        <w:spacing w:after="100"/>
      </w:pPr>
      <w:r>
        <w:t xml:space="preserve">Sum Credits Utilized per month, filterable by Tenant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 a step-up in monthly utilization from roughly 1K–8K (March–June 2025) to a sustained ~28K level from July 2025 through March 2026.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Overlay a target/budget line on the chart so users can immediately see utilization against an allocated credit ceiling.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10.</w:t>
      </w:r>
    </w:p>
    <w:p>
      <w:pPr>
        <w:spacing w:after="120" w:before="80"/>
      </w:pPr>
      <w:r>
        <w:drawing>
          <wp:inline distT="0" distB="0" distL="0" distR="0">
            <wp:extent cx="3495675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Single-value tile showing the total number of Prisma platform actions recorded in the Audit Logs.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Filter Dashboard on: Action Type = All, Tenant = All, Action Response = All</w:t>
      </w:r>
    </w:p>
    <w:p>
      <w:pPr>
        <w:spacing w:after="100"/>
      </w:pPr>
      <w:r>
        <w:t xml:space="preserve">Count of all logged Prisma Actions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 the current total action count (130,002) across all logged activity.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None at this time.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11.</w:t>
      </w:r>
    </w:p>
    <w:p>
      <w:pPr>
        <w:spacing w:after="120" w:before="80"/>
      </w:pPr>
      <w:r>
        <w:drawing>
          <wp:inline distT="0" distB="0" distL="0" distR="0">
            <wp:extent cx="3495675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Single-value tile showing the total number of Prisma login events recorded in the Audit Logs.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Filter Dashboard on: Action Type = LOGIN</w:t>
      </w:r>
    </w:p>
    <w:p>
      <w:pPr>
        <w:spacing w:after="100"/>
      </w:pPr>
      <w:r>
        <w:t xml:space="preserve">Count of all logged Prisma Login actions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 the current total login count (53,484), which reconciles with the LOGIN row in the Prisma Action By Status table below.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None at this time.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12.</w:t>
      </w:r>
    </w:p>
    <w:p>
      <w:pPr>
        <w:spacing w:after="120" w:before="80"/>
      </w:pPr>
      <w:r>
        <w:drawing>
          <wp:inline distT="0" distB="0" distL="0" distR="0">
            <wp:extent cx="3495675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Single-value tile showing the count of distinct Prisma users represented in the Audit Logs.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Count Distinct User ID across all logged Prisma Actions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 the current distinct user count (158).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None at this time.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13.</w:t>
      </w:r>
    </w:p>
    <w:p>
      <w:pPr>
        <w:spacing w:after="120" w:before="80"/>
      </w:pPr>
      <w:r>
        <w:drawing>
          <wp:inline distT="0" distB="0" distL="0" distR="0">
            <wp:extent cx="3495675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Grouped bar chart comparing Failures vs. Success action counts by Line of Business (LOB).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Group Prisma Actions by LOB (US ENA, US CDN, US Audit, US Tax)</w:t>
      </w:r>
    </w:p>
    <w:p>
      <w:pPr>
        <w:spacing w:after="100"/>
      </w:pPr>
      <w:r>
        <w:t xml:space="preserve">Count Actions per LOB, split by Failures and Success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Shows, per LOB, the count of failed vs. successful actions (e.g., US ENA: 4,156 failures / 59,007 success; US Audit: 815 failures / 12,509 success).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Add a failure-rate percentage label above each bar pair so relative risk across LOBs is comparable at a glance, not just absolute counts.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14.</w:t>
      </w:r>
    </w:p>
    <w:p>
      <w:pPr>
        <w:spacing w:after="120" w:before="80"/>
      </w:pPr>
      <w:r>
        <w:drawing>
          <wp:inline distT="0" distB="0" distL="0" distR="0">
            <wp:extent cx="3495675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Table view showing Prisma action volume broken down by action type and outcome.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Group Prisma Actions by Action (UPDATE, LOGIN, CREATE, DELETE, TEST)</w:t>
      </w:r>
    </w:p>
    <w:p>
      <w:pPr>
        <w:spacing w:after="100"/>
      </w:pPr>
      <w:r>
        <w:t xml:space="preserve">Count Total Actions per Action, split into Failures and Success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Shows, per Action type, Total Actions, Failures, and Success counts (e.g., UPDATE: 55,495 total / 1,041 failures / 54,454 success; CREATE: 18,226 total / 8,010 failures / 10,216 success). A "Detailed Logs" button opens the underlying records.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Highlight rows where the failure rate exceeds a defined threshold (e.g., CREATE at ~44% failure) so high-risk action types are immediately visible.</w:t>
      </w:r>
    </w:p>
    <w:p>
      <w:pPr>
        <w:pBdr>
          <w:bottom w:val="single" w:color="AAAAAA" w:sz="6" w:space="1"/>
        </w:pBdr>
        <w:spacing w:after="200" w:before="100"/>
      </w:pPr>
    </w:p>
    <w:p>
      <w:pPr>
        <w:spacing w:after="80" w:before="240"/>
      </w:pPr>
      <w:r>
        <w:rPr>
          <w:b/>
          <w:bCs/>
          <w:sz w:val="24"/>
          <w:szCs w:val="24"/>
        </w:rPr>
        <w:t xml:space="preserve">15.</w:t>
      </w:r>
    </w:p>
    <w:p>
      <w:pPr>
        <w:spacing w:after="120" w:before="80"/>
      </w:pPr>
      <w:r>
        <w:drawing>
          <wp:inline distT="0" distB="0" distL="0" distR="0">
            <wp:extent cx="349567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b/>
          <w:bCs/>
        </w:rPr>
        <w:t xml:space="preserve">Intent:</w:t>
      </w:r>
    </w:p>
    <w:p>
      <w:pPr>
        <w:spacing w:after="100"/>
      </w:pPr>
      <w:r>
        <w:t xml:space="preserve">Area chart showing the trend of Failures vs. Success actions by month across the full year.</w:t>
      </w:r>
    </w:p>
    <w:p>
      <w:pPr>
        <w:spacing w:after="20" w:before="40"/>
      </w:pPr>
      <w:r>
        <w:rPr>
          <w:b/>
          <w:bCs/>
        </w:rPr>
        <w:t xml:space="preserve">Query:</w:t>
      </w:r>
    </w:p>
    <w:p>
      <w:pPr>
        <w:spacing w:after="100"/>
      </w:pPr>
      <w:r>
        <w:t xml:space="preserve">Group Prisma Actions by Month</w:t>
      </w:r>
    </w:p>
    <w:p>
      <w:pPr>
        <w:spacing w:after="100"/>
      </w:pPr>
      <w:r>
        <w:t xml:space="preserve">Count Actions per month, split into Failures and Success series</w:t>
      </w:r>
    </w:p>
    <w:p>
      <w:pPr>
        <w:spacing w:after="20" w:before="40"/>
      </w:pPr>
      <w:r>
        <w:rPr>
          <w:b/>
          <w:bCs/>
        </w:rPr>
        <w:t xml:space="preserve">Data:</w:t>
      </w:r>
    </w:p>
    <w:p>
      <w:pPr>
        <w:spacing w:after="100"/>
      </w:pPr>
      <w:r>
        <w:t xml:space="preserve">Shows monthly trend from January through December, with a pronounced Success peak in February–March and comparatively low, stable Failures throughout the year with minor bumps in July–August and October–November.</w:t>
      </w:r>
    </w:p>
    <w:p>
      <w:pPr>
        <w:spacing w:after="20" w:before="40"/>
      </w:pPr>
      <w:r>
        <w:rPr>
          <w:b/>
          <w:bCs/>
        </w:rPr>
        <w:t xml:space="preserve">Suggested Change(s):</w:t>
      </w:r>
    </w:p>
    <w:p>
      <w:pPr>
        <w:spacing w:after="100"/>
      </w:pPr>
      <w:r>
        <w:t xml:space="preserve">Add year-over-year comparison as a secondary series so seasonal peaks can be validated against prior-year patterns.</w:t>
      </w:r>
    </w:p>
    <w:p>
      <w:pPr>
        <w:pBdr>
          <w:bottom w:val="single" w:color="AAAAAA" w:sz="6" w:space="1"/>
        </w:pBdr>
        <w:spacing w:after="200" w:before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ad328040c24cc0f4604f81244b3633d093f2dd.png"/><Relationship Id="rId8" Type="http://schemas.openxmlformats.org/officeDocument/2006/relationships/image" Target="media/d0d416325ee3679100d2f2de11bab20cb4a44ae8.png"/><Relationship Id="rId9" Type="http://schemas.openxmlformats.org/officeDocument/2006/relationships/image" Target="media/5b8ebb803bfc5de38b36059ab889b78ca3e5ff85.png"/><Relationship Id="rId10" Type="http://schemas.openxmlformats.org/officeDocument/2006/relationships/image" Target="media/47f08ed61fea446446457f68989a0aa279bc8705.png"/><Relationship Id="rId11" Type="http://schemas.openxmlformats.org/officeDocument/2006/relationships/image" Target="media/6691d820f6a59f4435d2a68dc16a45c2d9586a15.png"/><Relationship Id="rId12" Type="http://schemas.openxmlformats.org/officeDocument/2006/relationships/image" Target="media/bbed093e4ff940a2a97e869af915ccd7b9ffa170.png"/><Relationship Id="rId13" Type="http://schemas.openxmlformats.org/officeDocument/2006/relationships/image" Target="media/9e2ddad11b6e3c310450f70dda2874442b55ec2f.png"/><Relationship Id="rId14" Type="http://schemas.openxmlformats.org/officeDocument/2006/relationships/image" Target="media/9e76e060b63cae4c07553f8e2fbefdc64fa2537a.png"/><Relationship Id="rId15" Type="http://schemas.openxmlformats.org/officeDocument/2006/relationships/image" Target="media/434fa37b8873625cb77920a1e60d3f414a8d39a0.png"/><Relationship Id="rId16" Type="http://schemas.openxmlformats.org/officeDocument/2006/relationships/image" Target="media/d854bf9f742e2253a8be3912371ac346d8eda9d7.png"/><Relationship Id="rId17" Type="http://schemas.openxmlformats.org/officeDocument/2006/relationships/image" Target="media/1409abad17a103ba2bd9d080c46fdd83a65a912b.png"/><Relationship Id="rId18" Type="http://schemas.openxmlformats.org/officeDocument/2006/relationships/image" Target="media/eb7f4078b608d6f06ef681b98ce8fa5e73cabf3c.png"/><Relationship Id="rId19" Type="http://schemas.openxmlformats.org/officeDocument/2006/relationships/image" Target="media/a9776fac3a99fc94d02b49ee72851a6f1e52c924.png"/><Relationship Id="rId20" Type="http://schemas.openxmlformats.org/officeDocument/2006/relationships/image" Target="media/ca4b53322577b01c5404b693cde4e8ef18cec22b.png"/><Relationship Id="rId21" Type="http://schemas.openxmlformats.org/officeDocument/2006/relationships/image" Target="media/f9d903dec3367576dc84320de32e042343f8debe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2026-07-28T14:56:33.641Z</dcterms:created>
  <dcterms:modified xsi:type="dcterms:W3CDTF">2026-07-28T14:56:33.651Z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