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</w:pPr>
    </w:p>
    <w:p>
      <w:pPr>
        <w:jc w:val="center"/>
      </w:pPr>
      <w:r>
        <w:rPr>
          <w:rFonts w:ascii="Arial Black" w:hAnsi="Arial Black"/>
          <w:b/>
          <w:color w:val="0F172A"/>
          <w:sz w:val="96"/>
        </w:rPr>
        <w:t>HELPDESK.AI</w:t>
      </w:r>
    </w:p>
    <w:p>
      <w:pPr>
        <w:jc w:val="center"/>
      </w:pPr>
      <w:r>
        <w:rPr>
          <w:i/>
          <w:color w:val="94A3B8"/>
          <w:sz w:val="32"/>
        </w:rPr>
        <w:t>The Intelligent Standard for Enterprise IT Service Management</w:t>
      </w:r>
    </w:p>
    <w:p>
      <w:pPr>
        <w:spacing w:before="800"/>
      </w:pPr>
    </w:p>
    <w:p>
      <w:pPr>
        <w:spacing w:after="160"/>
        <w:jc w:val="center"/>
      </w:pPr>
      <w:r>
        <w:rPr>
          <w:rFonts w:ascii="Calibri" w:hAnsi="Calibri"/>
          <w:b/>
          <w:i w:val="0"/>
          <w:sz w:val="22"/>
        </w:rPr>
        <w:t>Product Architecture &amp; Operations Whitepaper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sz w:val="22"/>
        </w:rPr>
        <w:t>Infosys Springboard Virtual Internship Program 6.0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sz w:val="22"/>
        </w:rPr>
        <w:t>AI &amp; Machine Learning Track | March 2026</w:t>
      </w:r>
    </w:p>
    <w:p>
      <w:pPr>
        <w:spacing w:before="3000"/>
      </w:pPr>
    </w:p>
    <w:p>
      <w:pPr>
        <w:jc w:val="center"/>
      </w:pPr>
      <w:r>
        <w:rPr>
          <w:rFonts w:ascii="Courier New" w:hAnsi="Courier New"/>
          <w:sz w:val="20"/>
        </w:rPr>
        <w:t>Live Production: helpdeskaiv1.vercel.app</w:t>
        <w:br/>
        <w:t>GitHub: github.com/ritesh-1918/HELPDESK.AI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40"/>
        </w:rPr>
        <w:t>1. Executive Summary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HELPDESK.AI is a production-grade SaaS platform engineered as a next-generation Neural IT Orchestrator. Designed to replace legacy, rule-based ticketing systems, it deploys a multi-model deep learning inference engine to classify, prioritize, route, and auto-resolve IT issues in milliseconds.</w:t>
      </w:r>
    </w:p>
    <w:p>
      <w:pPr>
        <w:pStyle w:val="Heading2"/>
      </w:pPr>
      <w:r>
        <w:rPr>
          <w:rFonts w:ascii="Arial" w:hAnsi="Arial"/>
          <w:color w:val="1E40AF"/>
          <w:sz w:val="32"/>
        </w:rPr>
        <w:t>The Unique Selling Proposition (USP)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Unlike traditional systems that rely on keyword matching, HELPDESK.AI utilizes a custom 110M parameter DistilBERT classifier predicting five dimensions simultaneously. Combined with Semantic Duplicate Detection, Tesseract OCR screenshot reading, and Google Gemini AI for conversational auto-resolution, it represents a complete, ready-to-market enterprise triage replacement.</w:t>
      </w:r>
    </w:p>
    <w:p>
      <w:pPr>
        <w:pStyle w:val="Heading2"/>
      </w:pPr>
      <w:r>
        <w:rPr>
          <w:rFonts w:ascii="Arial" w:hAnsi="Arial"/>
          <w:color w:val="1E40AF"/>
          <w:sz w:val="32"/>
        </w:rPr>
        <w:t>The Bottleneck We Solve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Speed: </w:t>
      </w:r>
      <w:r>
        <w:rPr>
          <w:rFonts w:ascii="Calibri" w:hAnsi="Calibri"/>
          <w:sz w:val="22"/>
        </w:rPr>
        <w:t>Manual triage takes 4-8 minutes; our AI inference takes &lt;500ms.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Inconsistency: </w:t>
      </w:r>
      <w:r>
        <w:rPr>
          <w:rFonts w:ascii="Calibri" w:hAnsi="Calibri"/>
          <w:sz w:val="22"/>
        </w:rPr>
        <w:t>Removes human error in routing assignments and priority calculation.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Ticket Floods: </w:t>
      </w:r>
      <w:r>
        <w:rPr>
          <w:rFonts w:ascii="Calibri" w:hAnsi="Calibri"/>
          <w:sz w:val="22"/>
        </w:rPr>
        <w:t>Automatically groups redundant outage reports using sentence-transformers, decluttering the queue.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40"/>
        </w:rPr>
        <w:t>2. Platform Architecture &amp; AI Engine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platform employs a deeply decoupled, service-oriented architecture capable of edge-network scalability.</w:t>
      </w:r>
    </w:p>
    <w:p>
      <w:pPr>
        <w:pStyle w:val="Heading2"/>
      </w:pPr>
      <w:r>
        <w:rPr>
          <w:rFonts w:ascii="Arial" w:hAnsi="Arial"/>
          <w:color w:val="1E40AF"/>
          <w:sz w:val="32"/>
        </w:rPr>
        <w:t>The Multi-Model Neural Ecosystem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Classifier V3: </w:t>
      </w:r>
      <w:r>
        <w:rPr>
          <w:rFonts w:ascii="Calibri" w:hAnsi="Calibri"/>
          <w:sz w:val="22"/>
        </w:rPr>
        <w:t>A PyTorch-based Deep Learning model utilizing 'bert-base-uncased' with 5 parallel Feed-Forward Neural Network heads. It jointly predicts Category, Sub-Category, Priority, Auto-Resolve eligibility, and Assigned Team from a single text embedding.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Named Entity Recognition (NER): </w:t>
      </w:r>
      <w:r>
        <w:rPr>
          <w:rFonts w:ascii="Calibri" w:hAnsi="Calibri"/>
          <w:sz w:val="22"/>
        </w:rPr>
        <w:t>Extracts critical operational metadata from unstructured text such as Hostnames, IPs, Software Versions, and Lab IDs automatically.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Semantic Deduplication: </w:t>
      </w:r>
      <w:r>
        <w:rPr>
          <w:rFonts w:ascii="Calibri" w:hAnsi="Calibri"/>
          <w:sz w:val="22"/>
        </w:rPr>
        <w:t>Employs Cosine Similarity on high-dimensional text embeddings to link new tickets to active widespread incidents, regardless of user phrasing differences.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Gemini Reasoner + OCR: </w:t>
      </w:r>
      <w:r>
        <w:rPr>
          <w:rFonts w:ascii="Calibri" w:hAnsi="Calibri"/>
          <w:sz w:val="22"/>
        </w:rPr>
        <w:t>Fuses Tesseract Optical Character Recognition with Gemini's reasoning capabilities to 'read' uploaded screenshots, identify exact error codes, and proactively chat with the user for self-service resolution.</w:t>
      </w:r>
    </w:p>
    <w:p>
      <w:pPr>
        <w:pStyle w:val="Heading2"/>
      </w:pPr>
      <w:r>
        <w:rPr>
          <w:rFonts w:ascii="Arial" w:hAnsi="Arial"/>
          <w:color w:val="1E40AF"/>
          <w:sz w:val="32"/>
        </w:rPr>
        <w:t>Data Engineering Pipeline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Corpus: </w:t>
      </w:r>
      <w:r>
        <w:rPr>
          <w:rFonts w:ascii="Calibri" w:hAnsi="Calibri"/>
          <w:sz w:val="22"/>
        </w:rPr>
        <w:t>Trained on 'Final_Balanced_10000_IT_Support_Tickets.csv' - an enterprise-grade, balanced synthesis of 10,000 requests.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Preprocessing: </w:t>
      </w:r>
      <w:r>
        <w:rPr>
          <w:rFonts w:ascii="Calibri" w:hAnsi="Calibri"/>
          <w:sz w:val="22"/>
        </w:rPr>
        <w:t>Strict categorical encoding via Scikit-Learn; text tokenization via HuggingFace BertTokenizerFast with dynamic truncation at Max Length = 256.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40"/>
        </w:rPr>
        <w:t>3. Technical Stack &amp; Deployment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Technologies Deployed</w:t>
            </w:r>
          </w:p>
        </w:tc>
      </w:tr>
      <w:tr>
        <w:tc>
          <w:tcPr>
            <w:tcW w:type="dxa" w:w="4320"/>
          </w:tcPr>
          <w:p>
            <w:r>
              <w:t>Frontend (Client)</w:t>
            </w:r>
          </w:p>
        </w:tc>
        <w:tc>
          <w:tcPr>
            <w:tcW w:type="dxa" w:w="4320"/>
          </w:tcPr>
          <w:p>
            <w:r>
              <w:t>React 19, Vite, Tailwind CSS, Framer Motion, Zustand</w:t>
            </w:r>
          </w:p>
        </w:tc>
      </w:tr>
      <w:tr>
        <w:tc>
          <w:tcPr>
            <w:tcW w:type="dxa" w:w="4320"/>
          </w:tcPr>
          <w:p>
            <w:r>
              <w:t>Backend (API Engine)</w:t>
            </w:r>
          </w:p>
        </w:tc>
        <w:tc>
          <w:tcPr>
            <w:tcW w:type="dxa" w:w="4320"/>
          </w:tcPr>
          <w:p>
            <w:r>
              <w:t>Python 3.12, FastAPI, PyTorch, Hugging Face Transformers</w:t>
            </w:r>
          </w:p>
        </w:tc>
      </w:tr>
      <w:tr>
        <w:tc>
          <w:tcPr>
            <w:tcW w:type="dxa" w:w="4320"/>
          </w:tcPr>
          <w:p>
            <w:r>
              <w:t>Database &amp; Security</w:t>
            </w:r>
          </w:p>
        </w:tc>
        <w:tc>
          <w:tcPr>
            <w:tcW w:type="dxa" w:w="4320"/>
          </w:tcPr>
          <w:p>
            <w:r>
              <w:t>PostgreSQL, Supabase (Auth + RLS), Stripe Billing</w:t>
            </w:r>
          </w:p>
        </w:tc>
      </w:tr>
      <w:tr>
        <w:tc>
          <w:tcPr>
            <w:tcW w:type="dxa" w:w="4320"/>
          </w:tcPr>
          <w:p>
            <w:r>
              <w:t>Deployment &amp; Ops</w:t>
            </w:r>
          </w:p>
        </w:tc>
        <w:tc>
          <w:tcPr>
            <w:tcW w:type="dxa" w:w="4320"/>
          </w:tcPr>
          <w:p>
            <w:r>
              <w:t>Vercel (Edge), Hugging Face Spaces (Compute), GitHub Actions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hAnsi="Arial"/>
          <w:color w:val="1E40AF"/>
          <w:sz w:val="32"/>
        </w:rPr>
        <w:t>Enterprise 4-Layer Permission Matrix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Data isolation is mathematically guaranteed via Supabase Row-Level Security (RLS) across a 30-module architecture: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Master Admin: </w:t>
      </w:r>
      <w:r>
        <w:rPr>
          <w:rFonts w:ascii="Calibri" w:hAnsi="Calibri"/>
          <w:sz w:val="22"/>
        </w:rPr>
        <w:t>Cross-tenant orchestration, global analytics, new company verification.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Company Admin: </w:t>
      </w:r>
      <w:r>
        <w:rPr>
          <w:rFonts w:ascii="Calibri" w:hAnsi="Calibri"/>
          <w:sz w:val="22"/>
        </w:rPr>
        <w:t>Org-specific dashboards, workforce auditing, sentiment heatmaps.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Standard User: </w:t>
      </w:r>
      <w:r>
        <w:rPr>
          <w:rFonts w:ascii="Calibri" w:hAnsi="Calibri"/>
          <w:sz w:val="22"/>
        </w:rPr>
        <w:t>Live AI simulators, ticket tracking, interactive Auto-Resolve.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Public/Prospect: </w:t>
      </w:r>
      <w:r>
        <w:rPr>
          <w:rFonts w:ascii="Calibri" w:hAnsi="Calibri"/>
          <w:sz w:val="22"/>
        </w:rPr>
        <w:t>B2B Lead capture, interactive dynamic pricing tiers, system demo.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172A"/>
          <w:sz w:val="40"/>
        </w:rPr>
        <w:t>4. Team Roster &amp; Organization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The extensive nature of this platform required distinct sub-teams collaborating across standard agile workflows.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Project Coordination: </w:t>
      </w:r>
      <w:r>
        <w:rPr>
          <w:rFonts w:ascii="Calibri" w:hAnsi="Calibri"/>
          <w:sz w:val="22"/>
        </w:rPr>
        <w:t>Duniya Vasa (Lead), Sowjanya N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Model &amp; AI Architecture: </w:t>
      </w:r>
      <w:r>
        <w:rPr>
          <w:rFonts w:ascii="Calibri" w:hAnsi="Calibri"/>
          <w:sz w:val="22"/>
        </w:rPr>
        <w:t>Pragati Tiwari (Lead), Shaik Eshak, Ippili Raju, Vinitha Giri, Asna Abdul Kareem, Ritesh Bonthalakoti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Backend &amp; Services: </w:t>
      </w:r>
      <w:r>
        <w:rPr>
          <w:rFonts w:ascii="Calibri" w:hAnsi="Calibri"/>
          <w:sz w:val="22"/>
        </w:rPr>
        <w:t>Asmeet Kaur Makkad (Lead), Vijayalakshmi S R, Dinesh Reddy Vasampelli, Manya Sahasra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Frontend Engineering: </w:t>
      </w:r>
      <w:r>
        <w:rPr>
          <w:rFonts w:ascii="Calibri" w:hAnsi="Calibri"/>
          <w:sz w:val="22"/>
        </w:rPr>
        <w:t>Satla Prayukthika (Lead), Bandi Keerthi Krishna, Shubha G D, Phani Kotha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Data &amp; Parsing: </w:t>
      </w:r>
      <w:r>
        <w:rPr>
          <w:rFonts w:ascii="Calibri" w:hAnsi="Calibri"/>
          <w:sz w:val="22"/>
        </w:rPr>
        <w:t>Praneetha Baru (Lead), Kavin Sarvesh, Utukuri Naga Sri Hari Chandana, Akash Kumar Paswan, Ganesh Goud Tekmul</w:t>
      </w:r>
    </w:p>
    <w:p>
      <w:pPr>
        <w:spacing w:before="800"/>
      </w:pPr>
    </w:p>
    <w:p>
      <w:pPr>
        <w:jc w:val="center"/>
      </w:pPr>
      <w:r>
        <w:rPr>
          <w:i/>
          <w:color w:val="10B981"/>
          <w:sz w:val="28"/>
        </w:rPr>
        <w:t>“Building the future of Autonomous Helpdesks.”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