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570C" w14:textId="77777777" w:rsidR="009664FA" w:rsidRDefault="00000000">
      <w:r>
        <w:rPr>
          <w:b/>
          <w:bCs/>
          <w:color w:val="1A1A1A"/>
          <w:sz w:val="30"/>
          <w:szCs w:val="30"/>
        </w:rPr>
        <w:t>EXECUTIVE MEMO</w:t>
      </w:r>
    </w:p>
    <w:p w14:paraId="07AF5C8D" w14:textId="6E9F9FB4" w:rsidR="009664FA" w:rsidRDefault="00000000">
      <w:pPr>
        <w:spacing w:after="200"/>
      </w:pPr>
      <w:r>
        <w:rPr>
          <w:i/>
          <w:iCs/>
          <w:color w:val="666666"/>
          <w:sz w:val="21"/>
          <w:szCs w:val="21"/>
        </w:rPr>
        <w:t xml:space="preserve">Collections Recovery </w:t>
      </w:r>
      <w:proofErr w:type="gramStart"/>
      <w:r>
        <w:rPr>
          <w:i/>
          <w:iCs/>
          <w:color w:val="666666"/>
          <w:sz w:val="21"/>
          <w:szCs w:val="21"/>
        </w:rPr>
        <w:t xml:space="preserve">Performance </w:t>
      </w:r>
      <w:r w:rsidR="00512072">
        <w:rPr>
          <w:i/>
          <w:iCs/>
          <w:color w:val="666666"/>
          <w:sz w:val="21"/>
          <w:szCs w:val="21"/>
        </w:rPr>
        <w:t>:</w:t>
      </w:r>
      <w:proofErr w:type="gramEnd"/>
      <w:r>
        <w:rPr>
          <w:i/>
          <w:iCs/>
          <w:color w:val="666666"/>
          <w:sz w:val="21"/>
          <w:szCs w:val="21"/>
        </w:rPr>
        <w:t xml:space="preserve"> Is the 11% Improvement Real?</w:t>
      </w:r>
    </w:p>
    <w:p w14:paraId="6D7E43FE" w14:textId="77777777" w:rsidR="009664FA" w:rsidRDefault="00000000">
      <w:pPr>
        <w:spacing w:before="180" w:after="80"/>
      </w:pPr>
      <w:r>
        <w:rPr>
          <w:b/>
          <w:bCs/>
          <w:color w:val="1A1A1A"/>
          <w:sz w:val="24"/>
          <w:szCs w:val="24"/>
        </w:rPr>
        <w:t>1. What happened?</w:t>
      </w:r>
    </w:p>
    <w:p w14:paraId="20035F03" w14:textId="77777777" w:rsidR="009664FA" w:rsidRDefault="00000000">
      <w:pPr>
        <w:spacing w:after="80"/>
      </w:pPr>
      <w:r>
        <w:t xml:space="preserve">The reported </w:t>
      </w:r>
      <w:r>
        <w:rPr>
          <w:b/>
          <w:bCs/>
        </w:rPr>
        <w:t>“recovery improved 11% month-on-month”</w:t>
      </w:r>
      <w:r>
        <w:t xml:space="preserve"> is not a valid characterization of performance. That figure traces almost exactly to a single, uncleaned month-over-month comparison (</w:t>
      </w:r>
      <w:proofErr w:type="spellStart"/>
      <w:r>
        <w:t>Feb→Mar</w:t>
      </w:r>
      <w:proofErr w:type="spellEnd"/>
      <w:r>
        <w:t>), inflated by duplicate payment records that were never deduplicated before reporting.</w:t>
      </w:r>
    </w:p>
    <w:p w14:paraId="3C60B3C2" w14:textId="5C88F3B3" w:rsidR="009664FA" w:rsidRDefault="00000000">
      <w:pPr>
        <w:spacing w:after="80"/>
      </w:pPr>
      <w:r>
        <w:t xml:space="preserve">After building a golden dataset deduplicating payments, netting reversed transactions, and resolving agent/borrower identity issues recovery per account worked </w:t>
      </w:r>
      <w:r>
        <w:rPr>
          <w:b/>
          <w:bCs/>
          <w:color w:val="B03A2E"/>
        </w:rPr>
        <w:t>declined ~21% from January to July 2026</w:t>
      </w:r>
      <w:r>
        <w:t xml:space="preserve"> (</w:t>
      </w:r>
      <w:proofErr w:type="spellStart"/>
      <w:r>
        <w:t>avg</w:t>
      </w:r>
      <w:proofErr w:type="spellEnd"/>
      <w:r>
        <w:t xml:space="preserve"> −3.8%/month), falling in every single one of the seven complete months in the data. Note: the dataset covers ~7.5 months (Jan–Aug 12), not the ~12 months described in the brief; August is excluded from trend analysis as a partial month.</w:t>
      </w:r>
    </w:p>
    <w:p w14:paraId="64DCDFC2" w14:textId="77777777" w:rsidR="009664FA" w:rsidRDefault="00000000">
      <w:pPr>
        <w:spacing w:before="180" w:after="80"/>
      </w:pPr>
      <w:r>
        <w:rPr>
          <w:b/>
          <w:bCs/>
          <w:color w:val="1A1A1A"/>
          <w:sz w:val="24"/>
          <w:szCs w:val="24"/>
        </w:rPr>
        <w:t>2. Why did it happen?</w:t>
      </w:r>
    </w:p>
    <w:p w14:paraId="0880FDDB" w14:textId="38D22D85" w:rsidR="009664FA" w:rsidRDefault="00000000">
      <w:pPr>
        <w:spacing w:after="80"/>
      </w:pPr>
      <w:r>
        <w:rPr>
          <w:b/>
          <w:bCs/>
        </w:rPr>
        <w:t xml:space="preserve">Ruled out (Fact): </w:t>
      </w:r>
      <w:r>
        <w:t>portfolio mix (risk segment/DPD flat all year), denominator manipulation, agent headcount and tenure, staffing levels none show a pattern that explains the decline.</w:t>
      </w:r>
    </w:p>
    <w:p w14:paraId="57976F02" w14:textId="77777777" w:rsidR="009664FA" w:rsidRDefault="00000000">
      <w:pPr>
        <w:spacing w:after="80"/>
      </w:pPr>
      <w:r>
        <w:rPr>
          <w:b/>
          <w:bCs/>
        </w:rPr>
        <w:t xml:space="preserve">Ruled out (Strong Evidence): </w:t>
      </w:r>
      <w:r>
        <w:t>front-line execution. Contact rate (~19–20%) and PTP-kept rate (~49–50%) are flat across the period, and average payment size is flat (~₹75k). Agents are contacting and converting promises at the same rate as in January.</w:t>
      </w:r>
    </w:p>
    <w:p w14:paraId="678A7F42" w14:textId="2EC74EC2" w:rsidR="009664FA" w:rsidRDefault="00000000">
      <w:pPr>
        <w:spacing w:after="80"/>
      </w:pPr>
      <w:r>
        <w:rPr>
          <w:b/>
          <w:bCs/>
        </w:rPr>
        <w:t xml:space="preserve">What actually moved: </w:t>
      </w:r>
      <w:r>
        <w:t xml:space="preserve">the </w:t>
      </w:r>
      <w:r>
        <w:rPr>
          <w:i/>
          <w:iCs/>
        </w:rPr>
        <w:t>count</w:t>
      </w:r>
      <w:r>
        <w:t xml:space="preserve"> of successful payment events fell ~20% (2,387→1,909/month), closely tracking the overall recovery decline. Separately, ~85% of successful payments have no logged interaction (call/WhatsApp/SMS/visit) in the prior 7 days today's channel-attribution reporting has too little signal to be trusted.</w:t>
      </w:r>
    </w:p>
    <w:p w14:paraId="4740F785" w14:textId="77777777" w:rsidR="009664FA" w:rsidRDefault="00000000">
      <w:pPr>
        <w:spacing w:after="80"/>
      </w:pPr>
      <w:r>
        <w:rPr>
          <w:b/>
          <w:bCs/>
          <w:color w:val="B8860B"/>
        </w:rPr>
        <w:t xml:space="preserve">Leading hypothesis (not yet Fact-level): </w:t>
      </w:r>
      <w:r>
        <w:t>the same ~30K-account portfolio is being re-worked every month. Borrowers who are willing and able to pay resolve early; the remaining pool each month is progressively harder, even though blunt labels (risk segment, DPD) don't capture this. This is testable with a payer-vintage cohort analysis, recommended as the first, near-zero-cost next step.</w:t>
      </w:r>
    </w:p>
    <w:p w14:paraId="22647C6A" w14:textId="77777777" w:rsidR="009664FA" w:rsidRDefault="00000000">
      <w:pPr>
        <w:spacing w:before="180" w:after="80"/>
      </w:pPr>
      <w:r>
        <w:rPr>
          <w:b/>
          <w:bCs/>
          <w:color w:val="1A1A1A"/>
          <w:sz w:val="24"/>
          <w:szCs w:val="24"/>
        </w:rPr>
        <w:t>3. How confident are we?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5"/>
        <w:gridCol w:w="5215"/>
      </w:tblGrid>
      <w:tr w:rsidR="009664FA" w14:paraId="59BED9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EFEF"/>
          </w:tcPr>
          <w:p w14:paraId="0405B2D9" w14:textId="77777777" w:rsidR="009664FA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Confidence level</w:t>
            </w:r>
          </w:p>
        </w:tc>
        <w:tc>
          <w:tcPr>
            <w:tcW w:w="4500" w:type="dxa"/>
            <w:shd w:val="clear" w:color="auto" w:fill="EFEFEF"/>
          </w:tcPr>
          <w:p w14:paraId="69AAD51E" w14:textId="77777777" w:rsidR="009664FA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Findings</w:t>
            </w:r>
          </w:p>
        </w:tc>
      </w:tr>
      <w:tr w:rsidR="009664FA" w14:paraId="70B0C9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99CC326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Fact</w:t>
            </w:r>
          </w:p>
        </w:tc>
        <w:tc>
          <w:tcPr>
            <w:tcW w:w="4500" w:type="dxa"/>
          </w:tcPr>
          <w:p w14:paraId="5DF73B74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Duplicate payments inflate reported recovery 12.7%; agent identity fragmented (1,000 real agents in 30,000 rows); disposition codes drifted across schema versions; portfolio mix and denominators are stable.</w:t>
            </w:r>
          </w:p>
        </w:tc>
      </w:tr>
      <w:tr w:rsidR="009664FA" w14:paraId="7489FC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9257C9C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Strong Evidence</w:t>
            </w:r>
          </w:p>
        </w:tc>
        <w:tc>
          <w:tcPr>
            <w:tcW w:w="4500" w:type="dxa"/>
          </w:tcPr>
          <w:p w14:paraId="3E2A36ED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Recovery-per-account declined ~21% </w:t>
            </w:r>
            <w:proofErr w:type="spellStart"/>
            <w:r>
              <w:rPr>
                <w:sz w:val="19"/>
                <w:szCs w:val="19"/>
              </w:rPr>
              <w:t>Jan→Jul</w:t>
            </w:r>
            <w:proofErr w:type="spellEnd"/>
            <w:r>
              <w:rPr>
                <w:sz w:val="19"/>
                <w:szCs w:val="19"/>
              </w:rPr>
              <w:t>; front-line execution metrics are flat, ruling out an ops-quality explanation.</w:t>
            </w:r>
          </w:p>
        </w:tc>
      </w:tr>
      <w:tr w:rsidR="009664FA" w14:paraId="5A6A77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C9B9778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Hypothesis</w:t>
            </w:r>
          </w:p>
        </w:tc>
        <w:tc>
          <w:tcPr>
            <w:tcW w:w="4500" w:type="dxa"/>
          </w:tcPr>
          <w:p w14:paraId="280ECA0F" w14:textId="3F4C1EB1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Payer-pool depletion is the leading driver of the decline plausible and consistent with the evidence, but not yet directly proven.</w:t>
            </w:r>
          </w:p>
        </w:tc>
      </w:tr>
    </w:tbl>
    <w:p w14:paraId="41845D81" w14:textId="77777777" w:rsidR="009664FA" w:rsidRDefault="00000000">
      <w:pPr>
        <w:spacing w:before="180" w:after="80"/>
      </w:pPr>
      <w:r>
        <w:rPr>
          <w:b/>
          <w:bCs/>
          <w:color w:val="1A1A1A"/>
          <w:sz w:val="24"/>
          <w:szCs w:val="24"/>
        </w:rPr>
        <w:t>4. What should we do?</w:t>
      </w:r>
    </w:p>
    <w:p w14:paraId="0E03F502" w14:textId="14C68491" w:rsidR="009664FA" w:rsidRDefault="00000000">
      <w:pPr>
        <w:spacing w:after="80"/>
      </w:pPr>
      <w:r>
        <w:t xml:space="preserve">Recommendation: deploy the ₹10 Cr toward </w:t>
      </w:r>
      <w:r>
        <w:rPr>
          <w:b/>
          <w:bCs/>
        </w:rPr>
        <w:t>Better Borrower Targeting</w:t>
      </w:r>
      <w:r>
        <w:t xml:space="preserve"> the only option of the six that directly tests the leading hypothesis (a shrinking pool of payers) rather than assuming the current pool simply needs more contact volume or a new channel.</w:t>
      </w:r>
    </w:p>
    <w:p w14:paraId="48DB0AB8" w14:textId="709BA86C" w:rsidR="009664F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Telephony infra / more agents: contact rate is already flat under current staffing low marginal value.</w:t>
      </w:r>
    </w:p>
    <w:p w14:paraId="16370924" w14:textId="77777777" w:rsidR="009664F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AI voice automation: likely useful longer-term, but doesn't address a shrinking payer pool.</w:t>
      </w:r>
    </w:p>
    <w:p w14:paraId="58666AD1" w14:textId="726D096C" w:rsidR="009664F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WhatsApp/digital, field ops: only ~6% and ~2–3% of traced payments respectively small base to scale from.</w:t>
      </w:r>
    </w:p>
    <w:p w14:paraId="6C1CAB5D" w14:textId="77777777" w:rsidR="009664FA" w:rsidRDefault="00000000">
      <w:pPr>
        <w:spacing w:after="80"/>
      </w:pPr>
      <w:r>
        <w:t>Structure as a phased pilot, not a lump-sum commitment: run a propensity-to-pay targeting model on ~15% of the portfolio for 60–90 days against a held-out control group before scaling the full ₹10 Cr.</w:t>
      </w:r>
    </w:p>
    <w:p w14:paraId="22E70E04" w14:textId="543B492A" w:rsidR="009664FA" w:rsidRDefault="00000000">
      <w:pPr>
        <w:spacing w:before="180" w:after="80"/>
      </w:pPr>
      <w:r>
        <w:rPr>
          <w:b/>
          <w:bCs/>
          <w:color w:val="1A1A1A"/>
          <w:sz w:val="24"/>
          <w:szCs w:val="24"/>
        </w:rPr>
        <w:t>5. Expected financial impact and why it's a range, not a point estimate</w:t>
      </w:r>
    </w:p>
    <w:p w14:paraId="1511736B" w14:textId="77777777" w:rsidR="009664FA" w:rsidRDefault="00000000">
      <w:pPr>
        <w:spacing w:after="80"/>
      </w:pPr>
      <w:r>
        <w:rPr>
          <w:i/>
          <w:iCs/>
          <w:color w:val="666666"/>
        </w:rPr>
        <w:t>The provided data has no unit-cost table (agent cost/hour, vendor cost/minute, campaign spend), so a precise ROI cannot be produced honestly from this dataset alone. The figures below are illustrative, assumption-based, and should be replaced with real numbers from the pilot.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5"/>
        <w:gridCol w:w="5215"/>
      </w:tblGrid>
      <w:tr w:rsidR="009664FA" w14:paraId="5C8D06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EFEF"/>
          </w:tcPr>
          <w:p w14:paraId="598579AE" w14:textId="77777777" w:rsidR="009664FA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Assumption</w:t>
            </w:r>
          </w:p>
        </w:tc>
        <w:tc>
          <w:tcPr>
            <w:tcW w:w="4500" w:type="dxa"/>
            <w:shd w:val="clear" w:color="auto" w:fill="EFEFEF"/>
          </w:tcPr>
          <w:p w14:paraId="7099EFAF" w14:textId="77777777" w:rsidR="009664FA" w:rsidRDefault="00000000"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664FA" w14:paraId="2E6233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4CEA2F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Current recovery run-rate (Jul, annualized)</w:t>
            </w:r>
          </w:p>
        </w:tc>
        <w:tc>
          <w:tcPr>
            <w:tcW w:w="4500" w:type="dxa"/>
          </w:tcPr>
          <w:p w14:paraId="06C0D2C3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~₹158 Cr/yr</w:t>
            </w:r>
          </w:p>
        </w:tc>
      </w:tr>
      <w:tr w:rsidR="009664FA" w14:paraId="0BF6AB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85D5804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Assumed uplift from better targeting</w:t>
            </w:r>
          </w:p>
        </w:tc>
        <w:tc>
          <w:tcPr>
            <w:tcW w:w="4500" w:type="dxa"/>
          </w:tcPr>
          <w:p w14:paraId="000647A1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8–15% (illustrative; industry-typical range for propensity-model targeting, not derived from this data)</w:t>
            </w:r>
          </w:p>
        </w:tc>
      </w:tr>
      <w:tr w:rsidR="009664FA" w14:paraId="009880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1D45CF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lastRenderedPageBreak/>
              <w:t>Estimated incremental recovery</w:t>
            </w:r>
          </w:p>
        </w:tc>
        <w:tc>
          <w:tcPr>
            <w:tcW w:w="4500" w:type="dxa"/>
          </w:tcPr>
          <w:p w14:paraId="2B0BD935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₹12.6–23.7 Cr/yr</w:t>
            </w:r>
          </w:p>
        </w:tc>
      </w:tr>
      <w:tr w:rsidR="009664FA" w14:paraId="495D5C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58ED886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Investment</w:t>
            </w:r>
          </w:p>
        </w:tc>
        <w:tc>
          <w:tcPr>
            <w:tcW w:w="4500" w:type="dxa"/>
          </w:tcPr>
          <w:p w14:paraId="04158A0A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₹10 Cr</w:t>
            </w:r>
          </w:p>
        </w:tc>
      </w:tr>
      <w:tr w:rsidR="009664FA" w14:paraId="622FD8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DAAD86E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Illustrative ROI / breakeven</w:t>
            </w:r>
          </w:p>
        </w:tc>
        <w:tc>
          <w:tcPr>
            <w:tcW w:w="4500" w:type="dxa"/>
          </w:tcPr>
          <w:p w14:paraId="3E3DC15D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1.3x–2.4x in year one; breakeven in ~5–9 months if uplift holds</w:t>
            </w:r>
          </w:p>
        </w:tc>
      </w:tr>
      <w:tr w:rsidR="009664FA" w14:paraId="5A6B26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095D1FB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Downside scenario</w:t>
            </w:r>
          </w:p>
        </w:tc>
        <w:tc>
          <w:tcPr>
            <w:tcW w:w="4500" w:type="dxa"/>
          </w:tcPr>
          <w:p w14:paraId="6EA566F1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If the payer-pool hypothesis is wrong, uplift could be ~0 — the ₹10 Cr would largely fund a targeting model with limited near-term return</w:t>
            </w:r>
          </w:p>
        </w:tc>
      </w:tr>
      <w:tr w:rsidR="009664FA" w14:paraId="05209A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BBCA565" w14:textId="77777777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Confidence</w:t>
            </w:r>
          </w:p>
        </w:tc>
        <w:tc>
          <w:tcPr>
            <w:tcW w:w="4500" w:type="dxa"/>
          </w:tcPr>
          <w:p w14:paraId="6F21F77E" w14:textId="2A164EAC" w:rsidR="009664FA" w:rsidRDefault="00000000">
            <w:pPr>
              <w:spacing w:after="80"/>
            </w:pPr>
            <w:r>
              <w:rPr>
                <w:sz w:val="19"/>
                <w:szCs w:val="19"/>
              </w:rPr>
              <w:t>Low–Medium gate the full spend behind pilot results, not this estimate</w:t>
            </w:r>
          </w:p>
        </w:tc>
      </w:tr>
    </w:tbl>
    <w:p w14:paraId="4EE27830" w14:textId="77777777" w:rsidR="009664FA" w:rsidRDefault="00000000">
      <w:pPr>
        <w:spacing w:after="80"/>
      </w:pPr>
      <w:r>
        <w:rPr>
          <w:b/>
          <w:bCs/>
        </w:rPr>
        <w:t xml:space="preserve">Required next step: </w:t>
      </w:r>
      <w:r>
        <w:t>a controlled pilot (treatment vs. held-out control, matched on risk segment/DPD/vintage) is the minimum evidence needed before committing the full ₹10 Cr. This also produces the unit-cost and uplift data currently missing from the source systems.</w:t>
      </w:r>
    </w:p>
    <w:sectPr w:rsidR="009664F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60621"/>
    <w:multiLevelType w:val="hybridMultilevel"/>
    <w:tmpl w:val="5F9AF24A"/>
    <w:lvl w:ilvl="0" w:tplc="83549960">
      <w:start w:val="1"/>
      <w:numFmt w:val="bullet"/>
      <w:lvlText w:val="●"/>
      <w:lvlJc w:val="left"/>
      <w:pPr>
        <w:ind w:left="720" w:hanging="360"/>
      </w:pPr>
    </w:lvl>
    <w:lvl w:ilvl="1" w:tplc="65CA7BC4">
      <w:start w:val="1"/>
      <w:numFmt w:val="bullet"/>
      <w:lvlText w:val="○"/>
      <w:lvlJc w:val="left"/>
      <w:pPr>
        <w:ind w:left="1440" w:hanging="360"/>
      </w:pPr>
    </w:lvl>
    <w:lvl w:ilvl="2" w:tplc="9FE22F98">
      <w:start w:val="1"/>
      <w:numFmt w:val="bullet"/>
      <w:lvlText w:val="■"/>
      <w:lvlJc w:val="left"/>
      <w:pPr>
        <w:ind w:left="2160" w:hanging="360"/>
      </w:pPr>
    </w:lvl>
    <w:lvl w:ilvl="3" w:tplc="6730F8B6">
      <w:start w:val="1"/>
      <w:numFmt w:val="bullet"/>
      <w:lvlText w:val="●"/>
      <w:lvlJc w:val="left"/>
      <w:pPr>
        <w:ind w:left="2880" w:hanging="360"/>
      </w:pPr>
    </w:lvl>
    <w:lvl w:ilvl="4" w:tplc="1D524774">
      <w:start w:val="1"/>
      <w:numFmt w:val="bullet"/>
      <w:lvlText w:val="○"/>
      <w:lvlJc w:val="left"/>
      <w:pPr>
        <w:ind w:left="3600" w:hanging="360"/>
      </w:pPr>
    </w:lvl>
    <w:lvl w:ilvl="5" w:tplc="A39E8574">
      <w:start w:val="1"/>
      <w:numFmt w:val="bullet"/>
      <w:lvlText w:val="■"/>
      <w:lvlJc w:val="left"/>
      <w:pPr>
        <w:ind w:left="4320" w:hanging="360"/>
      </w:pPr>
    </w:lvl>
    <w:lvl w:ilvl="6" w:tplc="199CCA5E">
      <w:start w:val="1"/>
      <w:numFmt w:val="bullet"/>
      <w:lvlText w:val="●"/>
      <w:lvlJc w:val="left"/>
      <w:pPr>
        <w:ind w:left="5040" w:hanging="360"/>
      </w:pPr>
    </w:lvl>
    <w:lvl w:ilvl="7" w:tplc="2DCC3414">
      <w:start w:val="1"/>
      <w:numFmt w:val="bullet"/>
      <w:lvlText w:val="●"/>
      <w:lvlJc w:val="left"/>
      <w:pPr>
        <w:ind w:left="5760" w:hanging="360"/>
      </w:pPr>
    </w:lvl>
    <w:lvl w:ilvl="8" w:tplc="50227978">
      <w:start w:val="1"/>
      <w:numFmt w:val="bullet"/>
      <w:lvlText w:val="●"/>
      <w:lvlJc w:val="left"/>
      <w:pPr>
        <w:ind w:left="6480" w:hanging="360"/>
      </w:pPr>
    </w:lvl>
  </w:abstractNum>
  <w:num w:numId="1" w16cid:durableId="115306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FA"/>
    <w:rsid w:val="00512072"/>
    <w:rsid w:val="009664FA"/>
    <w:rsid w:val="00E91693"/>
    <w:rsid w:val="00F7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0A39"/>
  <w15:docId w15:val="{E674AA61-5D4E-4D76-8344-C0CC89BE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 kumar</cp:lastModifiedBy>
  <cp:revision>2</cp:revision>
  <dcterms:created xsi:type="dcterms:W3CDTF">2026-09-01T17:26:00Z</dcterms:created>
  <dcterms:modified xsi:type="dcterms:W3CDTF">2026-09-01T17:26:00Z</dcterms:modified>
</cp:coreProperties>
</file>