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4"/>
        </w:rPr>
        <w:t xml:space="preserve">Fairfax, VA | (571) 245-7770 | </w:t>
      </w:r>
      <w:r>
        <w:rPr>
          <w:color w:val="0563C1"/>
          <w:sz w:val="24"/>
          <w:u w:val="single"/>
        </w:rPr>
        <w:t>ritesh.chandra33@gmail.com</w:t>
      </w:r>
      <w:r>
        <w:rPr>
          <w:sz w:val="24"/>
        </w:rPr>
        <w:t xml:space="preserve"> | LinkedIn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building </w:t>
      </w:r>
      <w:r>
        <w:rPr>
          <w:b/>
          <w:i w:val="0"/>
          <w:sz w:val="22"/>
        </w:rPr>
        <w:t>LLM and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NLP models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public-safety domains. Published researcher (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ChromaDB, Hugging Face, PyTorch, and Scikit-learn</w:t>
      </w:r>
      <w:r>
        <w:rPr>
          <w:b w:val="0"/>
          <w:i w:val="0"/>
          <w:sz w:val="22"/>
        </w:rPr>
        <w:t xml:space="preserve">, and in </w:t>
      </w:r>
      <w:r>
        <w:rPr>
          <w:b/>
          <w:i w:val="0"/>
          <w:sz w:val="22"/>
        </w:rPr>
        <w:t>hallucination detection, ontology-based validation, and LLM evaluation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 for RAG-generated scenarios,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74% higher data accuracy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. Adept at collaborating with researchers, public agencies, and business stakeholders to deliver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LLMs:</w:t>
      </w:r>
      <w:r>
        <w:rPr>
          <w:b w:val="0"/>
          <w:i w:val="0"/>
          <w:sz w:val="22"/>
        </w:rPr>
        <w:t xml:space="preserve"> Llama 3/3.1, Ollama, Retrieval-Augmented Generation (RAG), Prompt Engineering, Agentic AI, Vector Databases (ChromaDB, FAISS), Sentence Transformers, LoRA,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Hallucination Detection,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Platforms:</w:t>
      </w:r>
      <w:r>
        <w:rPr>
          <w:b w:val="0"/>
          <w:i w:val="0"/>
          <w:sz w:val="22"/>
        </w:rPr>
        <w:t xml:space="preserve"> AWS (S3, Lambda, Athena, Glue, SageMaker, SQS), Azure (Data Services, Stream Analytics)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Analysis &amp; Visualization:</w:t>
      </w:r>
      <w:r>
        <w:rPr>
          <w:b w:val="0"/>
          <w:i w:val="0"/>
          <w:sz w:val="22"/>
        </w:rPr>
        <w:t xml:space="preserve"> Tableau, Power BI (DAX), Excel (VBA, Formulas), Statistical Analysis, Data Lineage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Master’s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Bachelor’s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Graduate Research Assistant (AI/ML)</w:t>
      </w:r>
      <w:r>
        <w:rPr>
          <w:b/>
        </w:rPr>
        <w:tab/>
        <w:t>Fairfax, VA | August 2024 –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 xml:space="preserve">, and produce post-call reflection analytics; published at 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the SHIELD data pipeline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and standardization of </w:t>
      </w:r>
      <w:r>
        <w:rPr>
          <w:b/>
          <w:i w:val="0"/>
          <w:sz w:val="22"/>
        </w:rPr>
        <w:t>160 gold-standard emergency scenarios</w:t>
      </w:r>
      <w:r>
        <w:rPr>
          <w:b w:val="0"/>
          <w:i w:val="0"/>
          <w:sz w:val="22"/>
        </w:rPr>
        <w:t xml:space="preserve"> across accident, fire, medical, and alarm incidents.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derived from </w:t>
      </w:r>
      <w:r>
        <w:rPr>
          <w:b/>
          <w:i w:val="0"/>
          <w:sz w:val="22"/>
        </w:rPr>
        <w:t>NENA</w:t>
      </w:r>
      <w:r>
        <w:rPr>
          <w:b w:val="0"/>
          <w:i w:val="0"/>
          <w:sz w:val="22"/>
        </w:rPr>
        <w:t xml:space="preserve"> standards and DPSC procedures, combining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 for unsafe content, protocol compliance, and </w:t>
      </w:r>
      <w:r>
        <w:rPr>
          <w:b/>
          <w:i w:val="0"/>
          <w:sz w:val="22"/>
        </w:rPr>
        <w:t>hallucination detection</w:t>
      </w:r>
      <w:r>
        <w:rPr>
          <w:b w:val="0"/>
          <w:i w:val="0"/>
          <w:sz w:val="22"/>
        </w:rPr>
        <w:t xml:space="preserve"> with PASS/REVIEW/FAIL confidence scoring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using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embeddings to generate protocol-grounded voice and text scenarios on commodity hardware, achieving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sub-2-second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ablation studies</w:t>
      </w:r>
      <w:r>
        <w:rPr>
          <w:b w:val="0"/>
          <w:i w:val="0"/>
          <w:sz w:val="22"/>
        </w:rPr>
        <w:t xml:space="preserve"> showing RAG retrieval drives scenario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without it) and ontology validation acts as a safety guardrail, cutting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real-time </w:t>
      </w:r>
      <w:r>
        <w:rPr>
          <w:b/>
          <w:i w:val="0"/>
          <w:sz w:val="22"/>
        </w:rPr>
        <w:t>trace-log analytics</w:t>
      </w:r>
      <w:r>
        <w:rPr>
          <w:b w:val="0"/>
          <w:i w:val="0"/>
          <w:sz w:val="22"/>
        </w:rPr>
        <w:t xml:space="preserve"> (event streams, Task Completion Rate, Average Field Latency, goal-alignment scoring) that feed an instructor </w:t>
      </w:r>
      <w:r>
        <w:rPr>
          <w:b/>
          <w:i w:val="0"/>
          <w:sz w:val="22"/>
        </w:rPr>
        <w:t>performance dashboard</w:t>
      </w:r>
      <w:r>
        <w:rPr>
          <w:b w:val="0"/>
          <w:i w:val="0"/>
          <w:sz w:val="22"/>
        </w:rPr>
        <w:t xml:space="preserve"> for adaptive feedback.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 to forecast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 xml:space="preserve">, visualizing findings in </w:t>
      </w:r>
      <w:r>
        <w:rPr>
          <w:b/>
          <w:i w:val="0"/>
          <w:sz w:val="22"/>
        </w:rPr>
        <w:t>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and transformer models using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 (QAT)</w:t>
      </w:r>
      <w:r>
        <w:rPr>
          <w:b w:val="0"/>
          <w:i w:val="0"/>
          <w:sz w:val="22"/>
        </w:rPr>
        <w:t xml:space="preserve">, reducing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keeping accuracy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benchmarks.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Established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experiment tracking and model registry for LLM and RAG experiments, logging parameters, prompts, and evaluation metrics to make every run reproducible and comparable across model versions.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by serving them through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and pre/post-deployment evaluation of model versions.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May 2022 –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managed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, boosting data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ensuring high availability for downstream AI/BI applications.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workflows with </w:t>
      </w:r>
      <w:r>
        <w:rPr>
          <w:b/>
          <w:i w:val="0"/>
          <w:sz w:val="22"/>
        </w:rPr>
        <w:t>Apache Airflow, Python,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ingestion workflow from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repositories,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cutting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ingestion pipelines for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 xml:space="preserve">, and improved </w:t>
      </w:r>
      <w:r>
        <w:rPr>
          <w:b/>
          <w:i w:val="0"/>
          <w:sz w:val="22"/>
        </w:rPr>
        <w:t>Scikit-learn/XGBoost</w:t>
      </w:r>
      <w:r>
        <w:rPr>
          <w:b w:val="0"/>
          <w:i w:val="0"/>
          <w:sz w:val="22"/>
        </w:rPr>
        <w:t xml:space="preserve"> models,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self-service BI pipelines integrating </w:t>
      </w:r>
      <w:r>
        <w:rPr>
          <w:b/>
          <w:i w:val="0"/>
          <w:sz w:val="22"/>
        </w:rPr>
        <w:t>Tableau, Power BI,</w:t>
      </w:r>
      <w:r>
        <w:rPr>
          <w:b w:val="0"/>
          <w:i w:val="0"/>
          <w:sz w:val="22"/>
        </w:rPr>
        <w:t xml:space="preserve"> and SQL-based models, reducing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and enabling anomaly detection for healthcare analytics.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Associate Data Analyst</w:t>
      </w:r>
      <w:r>
        <w:rPr>
          <w:b/>
        </w:rPr>
        <w:tab/>
        <w:t>Bengaluru, India | October 2020 –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Partnered with stakeholders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 to align ETL pipelines with business KPIs, improving claims data accuracy and driving cost savings.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, improving provider insights and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cutting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improving the reliability of financial reporting.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“SHIELD: A Framework for Online Conversational AI System for Self-Regulated Learning at Emergency Communications Centers.” In </w:t>
      </w:r>
      <w:r>
        <w:rPr>
          <w:b w:val="0"/>
          <w:i/>
          <w:sz w:val="22"/>
        </w:rPr>
        <w:t>Proceedings of the 19th ACM International Conference on Web Search and Data Mining (WSDM ’26)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and H. Purohit. “MATE-911: Multimodal AI-powered Training Environment for Next-Generation 911 Dispatcher Preparedness.” In </w:t>
      </w:r>
      <w:r>
        <w:rPr>
          <w:b w:val="0"/>
          <w:i/>
          <w:sz w:val="22"/>
        </w:rPr>
        <w:t>IEEE PST Conference</w:t>
      </w:r>
      <w:r>
        <w:rPr>
          <w:b w:val="0"/>
          <w:i w:val="0"/>
          <w:sz w:val="22"/>
        </w:rPr>
        <w:t>,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