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87C2"/>
          <w:sz w:val="44"/>
          <w:szCs w:val="44"/>
        </w:rPr>
        <w:t xml:space="preserve">UniGrow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Signal PoC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What we built, what we learned, what comes next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Date: 11 Apr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Author: Ritesh Dhakar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Status: PoC Complete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Audience: Internal</w:t>
            </w:r>
          </w:p>
        </w:tc>
      </w:tr>
    </w:tbl>
    <w:p>
      <w:pPr>
        <w:spacing w:after="240"/>
      </w:pP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What is UniGrow?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UniGrow is a proactive signal dashboard for Unicommerce tenants. Instead of sellers manually digging through reports to find growth problems, UniGrow surfaces actionable signals automatically, each one pointing to a specific revenue risk or expansion opportunity backed by DWH data.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PoC answers one question: can we mine Unicommerce’s existing data warehouse to generate signals that are specific, timely, and worth acting on?</w:t>
      </w:r>
    </w:p>
    <w:p>
      <w:pPr>
        <w:spacing w:after="120"/>
      </w:pP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Signals Built in This PoC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We evaluated 7 candidate signals (S1–S7). Two were dropped during schema discovery because the DWH lacks the required fields. S1 (Listing Gap) and S2 (Channel Expansion) were merged into a single “Listing Coverage Gap” signal because they targeted the same underlying problem. Four signals made it into the working prototype.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2800"/>
        <w:gridCol w:w="1600"/>
        <w:gridCol w:w="136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87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87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87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Surfaces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87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87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Range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87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S1/S2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Listing Coverage Gap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Merged signal: channels with &lt;50% SKU coverage vs top channel. Revenue-generating channels sorted first by upside, then zero-revenue channels by gap size.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channel_listing + inventory + transaction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Current snapshot + 30d revenue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New SKU Not Listed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Recently added SKUs not yet listed on any channel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Dropped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Stockout Deactivation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Listings deactivated due to zero inventory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Dropped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Inventory DOH Risk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Bestseller SKUs (top 20% by sales volume per tenant) with low DOH. Tiered: STOCKOUT / CRITICAL / WARNING / WATCH. Impact shown as revenue at risk (daily velocity x avg price x 7-day window).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low_inventory + transaction (90d price)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30d velocity, 90d avg price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Return Rate Outlier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SKU + channel combos with return rates (RTO + CIR) above 10%. Excludes D2C. Filters: min 5 dispatched, min 2 returned.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transaction__daily_v2_raw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Rolling (90 days inferred)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Regional Concentration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SKUs where a single state accounts for a disproportionate share of orders, indicating geographic risk or untapped expansion potential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transaction__daily_v2_raw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Last 30 days (revenue_30d)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Live</w:t>
            </w:r>
          </w:p>
        </w:tc>
      </w:tr>
    </w:tbl>
    <w:p>
      <w:pPr>
        <w:spacing w:after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Why S3 and S4 Were Dropped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S3 (New SKU Not Listed): </w:t>
      </w:r>
      <w:r>
        <w:rPr>
          <w:rFonts w:ascii="Arial" w:cs="Arial" w:eastAsia="Arial" w:hAnsi="Arial"/>
          <w:sz w:val="22"/>
          <w:szCs w:val="22"/>
        </w:rPr>
        <w:t xml:space="preserve">DWH has no item_type.created timestamp. We cannot determine when a SKU was added, so we cannot identify “new” SKUs.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S4 (Stockout Deactivation): </w:t>
      </w:r>
      <w:r>
        <w:rPr>
          <w:rFonts w:ascii="Arial" w:cs="Arial" w:eastAsia="Arial" w:hAnsi="Arial"/>
          <w:sz w:val="22"/>
          <w:szCs w:val="22"/>
        </w:rPr>
        <w:t xml:space="preserve">The channel_listing table stores one row per SKU per channel, not per status change. There is no event log to detect listings that went inactive due to stockout.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Both require schema additions or CDC event logging before they become feasible.</w:t>
      </w:r>
    </w:p>
    <w:p>
      <w:pPr>
        <w:spacing w:after="120"/>
      </w:pP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How the PoC Works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Data Pipeline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Extract: </w:t>
      </w:r>
      <w:r>
        <w:rPr>
          <w:rFonts w:ascii="Arial" w:cs="Arial" w:eastAsia="Arial" w:hAnsi="Arial"/>
          <w:sz w:val="22"/>
          <w:szCs w:val="22"/>
        </w:rPr>
        <w:t xml:space="preserve">Python scripts query the ClickHouse DWH via Metabase REST API. Three queries run for S5, S6, S7 against aggregated and transactional tables. S1/S2 use pre-computed listing and inventory counts.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Transform: </w:t>
      </w:r>
      <w:r>
        <w:rPr>
          <w:rFonts w:ascii="Arial" w:cs="Arial" w:eastAsia="Arial" w:hAnsi="Arial"/>
          <w:sz w:val="22"/>
          <w:szCs w:val="22"/>
        </w:rPr>
        <w:t xml:space="preserve">A generation script processes raw CSVs into signal objects per tenant. Each signal gets a severity score, risk tier, detail table rows, and display metadata.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Render: </w:t>
      </w:r>
      <w:r>
        <w:rPr>
          <w:rFonts w:ascii="Arial" w:cs="Arial" w:eastAsia="Arial" w:hAnsi="Arial"/>
          <w:sz w:val="22"/>
          <w:szCs w:val="22"/>
        </w:rPr>
        <w:t xml:space="preserve">A build script injects the tenant signal data and render logic into a single self-contained HTML file. No server required—open the file in any browser.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UI Layout: Priority Grid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Signals are sorted by severity score and displayed in a three-tier layout: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Row 1 (Primary): </w:t>
      </w:r>
      <w:r>
        <w:rPr>
          <w:rFonts w:ascii="Arial" w:cs="Arial" w:eastAsia="Arial" w:hAnsi="Arial"/>
          <w:sz w:val="22"/>
          <w:szCs w:val="22"/>
        </w:rPr>
        <w:t xml:space="preserve">Highest-severity signal, full width, expanded with detail table.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Row 2 (Secondary): </w:t>
      </w:r>
      <w:r>
        <w:rPr>
          <w:rFonts w:ascii="Arial" w:cs="Arial" w:eastAsia="Arial" w:hAnsi="Arial"/>
          <w:sz w:val="22"/>
          <w:szCs w:val="22"/>
        </w:rPr>
        <w:t xml:space="preserve">Next two signals, two-column layout, expanded.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Row 3 (Tertiary): </w:t>
      </w:r>
      <w:r>
        <w:rPr>
          <w:rFonts w:ascii="Arial" w:cs="Arial" w:eastAsia="Arial" w:hAnsi="Arial"/>
          <w:sz w:val="22"/>
          <w:szCs w:val="22"/>
        </w:rPr>
        <w:t xml:space="preserve">Remaining signals, collapsed by default, expandable on click.</w:t>
      </w:r>
    </w:p>
    <w:p>
      <w:pPr>
        <w:spacing w:after="4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Each signal card shows: type badge (Risk/Opportunity), headline, subtitle with data context, pills with key metrics, impact value, and a drill-down detail table.</w:t>
      </w:r>
    </w:p>
    <w:p>
      <w:pPr>
        <w:spacing w:after="120"/>
      </w:pP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Signal Coverage Across 15 Tenants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Not every tenant triggers every signal. Coverage depends on data availability in the DWH snapshot (March 2026) and whether thresholds are met.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400"/>
        <w:gridCol w:w="1400"/>
        <w:gridCol w:w="1400"/>
        <w:gridCol w:w="12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87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Tenant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87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S1/S2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87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87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87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S7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87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Ada Chikan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BDBDBD"/>
                <w:sz w:val="20"/>
                <w:szCs w:val="20"/>
              </w:rPr>
              <w:t xml:space="preserve">–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Adil Qadri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BDBDBD"/>
                <w:sz w:val="20"/>
                <w:szCs w:val="20"/>
              </w:rPr>
              <w:t xml:space="preserve">–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Ajanta Shoes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BDBDBD"/>
                <w:sz w:val="20"/>
                <w:szCs w:val="20"/>
              </w:rPr>
              <w:t xml:space="preserve">–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Dot &amp; Key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BDBDBD"/>
                <w:sz w:val="20"/>
                <w:szCs w:val="20"/>
              </w:rPr>
              <w:t xml:space="preserve">–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Go Sriki Fashion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BDBDBD"/>
                <w:sz w:val="20"/>
                <w:szCs w:val="20"/>
              </w:rPr>
              <w:t xml:space="preserve">–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Innovist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BDBDBD"/>
                <w:sz w:val="20"/>
                <w:szCs w:val="20"/>
              </w:rPr>
              <w:t xml:space="preserve">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BDBDBD"/>
                <w:sz w:val="20"/>
                <w:szCs w:val="20"/>
              </w:rPr>
              <w:t xml:space="preserve">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BDBDBD"/>
                <w:sz w:val="20"/>
                <w:szCs w:val="20"/>
              </w:rPr>
              <w:t xml:space="preserve">–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Mamaearth (Honasa)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BDBDBD"/>
                <w:sz w:val="20"/>
                <w:szCs w:val="20"/>
              </w:rPr>
              <w:t xml:space="preserve">–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Mosaic Wellness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BDBDBD"/>
                <w:sz w:val="20"/>
                <w:szCs w:val="20"/>
              </w:rPr>
              <w:t xml:space="preserve">–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NUA Woman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Palmonas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PEP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BDBDBD"/>
                <w:sz w:val="20"/>
                <w:szCs w:val="20"/>
              </w:rPr>
              <w:t xml:space="preserve">–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Plix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BDBDBD"/>
                <w:sz w:val="20"/>
                <w:szCs w:val="20"/>
              </w:rPr>
              <w:t xml:space="preserve">–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Showoff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SuperYou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BDBDBD"/>
                <w:sz w:val="20"/>
                <w:szCs w:val="20"/>
              </w:rPr>
              <w:t xml:space="preserve">–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Traya Health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BDBDBD"/>
                <w:sz w:val="20"/>
                <w:szCs w:val="20"/>
              </w:rPr>
              <w:t xml:space="preserve">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BDBDBD"/>
                <w:sz w:val="20"/>
                <w:szCs w:val="20"/>
              </w:rPr>
              <w:t xml:space="preserve">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13 of 15 tenants have 3+ signals. Two tenants (Innovist, Traya Health) have fewer signals due to missing inventory data in the DWH snapshot. S7 (Regional Concentration) fires for only 3 tenants because most SKUs have distributed order patterns rather than single-state concentration.</w:t>
      </w:r>
    </w:p>
    <w:p>
      <w:pPr>
        <w:spacing w:after="120"/>
      </w:pP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Key Technical Learnings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ClickHouse via Metabase has a connection pool bug. </w:t>
      </w:r>
      <w:r>
        <w:rPr>
          <w:rFonts w:ascii="Arial" w:cs="Arial" w:eastAsia="Arial" w:hAnsi="Arial"/>
          <w:sz w:val="22"/>
          <w:szCs w:val="22"/>
        </w:rPr>
        <w:t xml:space="preserve">Every other request fails with a protocol error. Workaround: retry logic with 1-second delay. For production, direct ClickHouse HTTP interface is recommended.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HAVING clauses with column aliases silently fail in ClickHouse. </w:t>
      </w:r>
      <w:r>
        <w:rPr>
          <w:rFonts w:ascii="Arial" w:cs="Arial" w:eastAsia="Arial" w:hAnsi="Arial"/>
          <w:sz w:val="22"/>
          <w:szCs w:val="22"/>
        </w:rPr>
        <w:t xml:space="preserve">Queries must use full expressions in HAVING, not aliased column names. This caused zero-row returns during S6 extraction until caught.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freshness matters. </w:t>
      </w:r>
      <w:r>
        <w:rPr>
          <w:rFonts w:ascii="Arial" w:cs="Arial" w:eastAsia="Arial" w:hAnsi="Arial"/>
          <w:sz w:val="22"/>
          <w:szCs w:val="22"/>
        </w:rPr>
        <w:t xml:space="preserve">The inventory snapshot is from March 17, 2026. Stale snapshots mean some tenants show no inventory signal even though they likely have stock issues today.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D2C channels must be excluded from marketplace signals. </w:t>
      </w:r>
      <w:r>
        <w:rPr>
          <w:rFonts w:ascii="Arial" w:cs="Arial" w:eastAsia="Arial" w:hAnsi="Arial"/>
          <w:sz w:val="22"/>
          <w:szCs w:val="22"/>
        </w:rPr>
        <w:t xml:space="preserve">Shopify and own-website orders follow different return/fulfillment patterns. Mixing them with marketplace data produces misleading signals.</w:t>
      </w:r>
    </w:p>
    <w:p>
      <w:pPr>
        <w:spacing w:after="120"/>
      </w:pP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Logic Gaps Identified During PoC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following limitations were identified during the signal logic audit. These are not blockers for the PoC but must be addressed before production.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3400"/>
        <w:gridCol w:w="1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87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87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87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87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Effort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Revenue projection assumes new SKUs earn the same rev/SKU as existing ones on that channel. Overestimates for niche channels.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Impact numbers may be inflated for small channels. Misleading prioritisation.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S1/S2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Fixed in PoC: merged into single Listing Coverage signal. Remaining gap: 50% coverage threshold is hardcoded with no segment adjustment.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Threshold may be too aggressive for fashion (many SKUs) and too lenient for supplements (few SKUs).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Fixed in PoC: bestseller changed from absolute (5+ units/month) to top 20% by sales volume per tenant. Remaining gap: revenue uses 90-day avg price but DOH uses 30-day velocity.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Seasonal SKUs may show inflated or deflated revenue at risk. Time window mismatch between price and velocity.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Fixed in PoC: added min 2 returns floor to filter noise. Remaining gap: no revenue weighting. A ₹100 SKU with 20% returns gets same priority as a ₹5000 SKU.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Low-value noisy SKUs may dominate the signal. High-value return problems may be buried.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30% state concentration threshold ignores natural demand distribution. Maharashtra alone is 15–20% of India’s ecommerce. Only 2/15 tenants trigger this signal.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Signal fires too rarely. When it fires for MH-heavy SKUs, it may be a false positive (normal demand pattern, not concentration risk).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What This PoC Proves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Unicommerce’s DWH already contains enough data to generate 5 distinct, actionable signals per tenant without any new instrumentation.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Signals can be severity-ranked and presented in a priority grid that immediately tells a seller what to fix first.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The data pipeline (extract → transform → render) runs end-to-end in under 2 minutes for 15 tenants.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Signal sparsity is real but manageable. Even the weakest tenant gets 2 signals. Most get 4.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Each signal includes a tooltip explaining the exact logic, thresholds, and data sources used. This transparency builds trust with sellers and internal stakeholders.</w:t>
      </w:r>
    </w:p>
    <w:p>
      <w:pPr>
        <w:spacing w:after="120"/>
      </w:pP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Recommended Next Steps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Close data gaps for S3/S4. </w:t>
      </w:r>
      <w:r>
        <w:rPr>
          <w:rFonts w:ascii="Arial" w:cs="Arial" w:eastAsia="Arial" w:hAnsi="Arial"/>
          <w:sz w:val="22"/>
          <w:szCs w:val="22"/>
        </w:rPr>
        <w:t xml:space="preserve">Add item_type.created timestamp and channel_listing status change events to the DWH. This unblocks the two dropped signals.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Move to live data. </w:t>
      </w:r>
      <w:r>
        <w:rPr>
          <w:rFonts w:ascii="Arial" w:cs="Arial" w:eastAsia="Arial" w:hAnsi="Arial"/>
          <w:sz w:val="22"/>
          <w:szCs w:val="22"/>
        </w:rPr>
        <w:t xml:space="preserve">Replace Metabase API with direct ClickHouse HTTP queries and schedule daily signal generation. Eliminates the connection pool bug and stale-snapshot problem.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Scale to full tenant base. </w:t>
      </w:r>
      <w:r>
        <w:rPr>
          <w:rFonts w:ascii="Arial" w:cs="Arial" w:eastAsia="Arial" w:hAnsi="Arial"/>
          <w:sz w:val="22"/>
          <w:szCs w:val="22"/>
        </w:rPr>
        <w:t xml:space="preserve">The PoC covers 15 tenants. The queries are parameterised and ready to run against the full 5,500+ client base.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Define signal refresh cadence and staleness thresholds for PRD. </w:t>
      </w:r>
      <w:r>
        <w:rPr>
          <w:rFonts w:ascii="Arial" w:cs="Arial" w:eastAsia="Arial" w:hAnsi="Arial"/>
          <w:sz w:val="22"/>
          <w:szCs w:val="22"/>
        </w:rPr>
        <w:t xml:space="preserve">Decide: S1/S2 refresh daily or on inventory change? S6 window fixed 30d/60d/90d or rolling? Suppress signals if underlying data &gt;N days old?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Write PRD for UniGrow MVP. </w:t>
      </w:r>
      <w:r>
        <w:rPr>
          <w:rFonts w:ascii="Arial" w:cs="Arial" w:eastAsia="Arial" w:hAnsi="Arial"/>
          <w:sz w:val="22"/>
          <w:szCs w:val="22"/>
        </w:rPr>
        <w:t xml:space="preserve">Define signal thresholds, refresh cadence, notification triggers, and integration with the Uniware seller panel.</w:t>
      </w:r>
    </w:p>
    <w:p>
      <w:pPr>
        <w:spacing w:after="200"/>
      </w:pPr>
    </w:p>
    <w:p>
      <w:pPr>
        <w:pBdr>
          <w:top w:val="single" w:color="1F87C2" w:sz="6" w:space="8"/>
        </w:pBdr>
        <w:spacing w:after="0" w:before="20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Prepared by Ritesh Dhakar, Senior PM  |  April 2026  |  Unicommerce</w:t>
      </w:r>
    </w:p>
    <w:sectPr>
      <w:headerReference w:type="default" r:id="rId7"/>
      <w:footerReference w:type="default" r:id="rId8"/>
      <w:pgSz w:w="12240" w:h="15840" w:orient="portrait"/>
      <w:pgMar w:top="144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UniGrow Signal PoC Brief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999999"/>
        <w:sz w:val="16"/>
        <w:szCs w:val="16"/>
      </w:rPr>
      <w:t xml:space="preserve">UNICOMMERCE  </w:t>
    </w:r>
    <w:r>
      <w:rPr>
        <w:rFonts w:ascii="Arial" w:cs="Arial" w:eastAsia="Arial" w:hAnsi="Arial"/>
        <w:color w:val="999999"/>
        <w:sz w:val="16"/>
        <w:szCs w:val="16"/>
      </w:rPr>
      <w:t xml:space="preserve">| 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2026-04-11T16:22:54.765Z</dcterms:created>
  <dcterms:modified xsi:type="dcterms:W3CDTF">2026-04-11T16:22:54.770Z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