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Arial" w:cs="Arial" w:eastAsia="Arial" w:hAnsi="Arial"/>
          <w:b/>
          <w:bCs/>
          <w:color w:val="2C3E50"/>
          <w:sz w:val="48"/>
          <w:szCs w:val="48"/>
        </w:rPr>
        <w:t xml:space="preserve">Understanding Web Vulnerabilities</w:t>
      </w:r>
    </w:p>
    <w:p>
      <w:pPr>
        <w:spacing w:after="80" w:before="0"/>
        <w:jc w:val="center"/>
      </w:pPr>
      <w:r>
        <w:rPr>
          <w:rFonts w:ascii="Arial" w:cs="Arial" w:eastAsia="Arial" w:hAnsi="Arial"/>
          <w:b/>
          <w:bCs/>
          <w:color w:val="C0392B"/>
          <w:sz w:val="28"/>
          <w:szCs w:val="28"/>
        </w:rPr>
        <w:t xml:space="preserve">OWASP Top 10 — A Practical Overview</w:t>
      </w:r>
    </w:p>
    <w:p>
      <w:pPr>
        <w:spacing w:after="400" w:before="0"/>
        <w:jc w:val="center"/>
      </w:pPr>
      <w:r>
        <w:rPr>
          <w:rFonts w:ascii="Arial" w:cs="Arial" w:eastAsia="Arial" w:hAnsi="Arial"/>
          <w:i/>
          <w:iCs/>
          <w:color w:val="888888"/>
          <w:sz w:val="20"/>
          <w:szCs w:val="20"/>
        </w:rPr>
        <w:t xml:space="preserve">Based on OWASP Top 10:2021</w:t>
      </w:r>
    </w:p>
    <w:p>
      <w:pPr>
        <w:pStyle w:val="Heading1"/>
        <w:spacing w:after="150" w:before="300"/>
      </w:pPr>
      <w:r>
        <w:rPr>
          <w:rFonts w:ascii="Arial" w:cs="Arial" w:eastAsia="Arial" w:hAnsi="Arial"/>
          <w:b/>
          <w:bCs/>
          <w:color w:val="2C3E50"/>
          <w:sz w:val="32"/>
          <w:szCs w:val="32"/>
        </w:rPr>
        <w:t xml:space="preserve">1. What Are Web Vulnerabilities?</w:t>
      </w:r>
    </w:p>
    <w:p>
      <w:pPr>
        <w:spacing w:after="80" w:before="80"/>
      </w:pPr>
      <w:r>
        <w:rPr>
          <w:rFonts w:ascii="Arial" w:cs="Arial" w:eastAsia="Arial" w:hAnsi="Arial"/>
          <w:sz w:val="22"/>
          <w:szCs w:val="22"/>
        </w:rPr>
        <w:t xml:space="preserve">Web vulnerabilities are security weaknesses in web applications, APIs, or their underlying infrastructure that attackers can exploit to gain unauthorized access, steal data, disrupt services, or take control of systems. They arise from flawed design, insecure code, misconfigured servers, or inadequate security practices.</w:t>
      </w:r>
    </w:p>
    <w:p>
      <w:pPr>
        <w:spacing w:after="80" w:before="80"/>
      </w:pPr>
      <w:r>
        <w:rPr>
          <w:rFonts w:ascii="Arial" w:cs="Arial" w:eastAsia="Arial" w:hAnsi="Arial"/>
          <w:sz w:val="22"/>
          <w:szCs w:val="22"/>
        </w:rPr>
        <w:t xml:space="preserve">Common root causes include:</w:t>
      </w:r>
    </w:p>
    <w:p>
      <w:pPr>
        <w:pStyle w:val="ListParagraph"/>
        <w:numPr>
          <w:ilvl w:val="0"/>
          <w:numId w:val="2"/>
        </w:numPr>
        <w:spacing w:after="60" w:before="60"/>
      </w:pPr>
      <w:r>
        <w:rPr>
          <w:rFonts w:ascii="Arial" w:cs="Arial" w:eastAsia="Arial" w:hAnsi="Arial"/>
          <w:sz w:val="22"/>
          <w:szCs w:val="22"/>
        </w:rPr>
        <w:t xml:space="preserve">Insufficient input validation and output encoding</w:t>
      </w:r>
    </w:p>
    <w:p>
      <w:pPr>
        <w:pStyle w:val="ListParagraph"/>
        <w:numPr>
          <w:ilvl w:val="0"/>
          <w:numId w:val="2"/>
        </w:numPr>
        <w:spacing w:after="60" w:before="60"/>
      </w:pPr>
      <w:r>
        <w:rPr>
          <w:rFonts w:ascii="Arial" w:cs="Arial" w:eastAsia="Arial" w:hAnsi="Arial"/>
          <w:sz w:val="22"/>
          <w:szCs w:val="22"/>
        </w:rPr>
        <w:t xml:space="preserve">Flawed authentication and session management logic</w:t>
      </w:r>
    </w:p>
    <w:p>
      <w:pPr>
        <w:pStyle w:val="ListParagraph"/>
        <w:numPr>
          <w:ilvl w:val="0"/>
          <w:numId w:val="2"/>
        </w:numPr>
        <w:spacing w:after="60" w:before="60"/>
      </w:pPr>
      <w:r>
        <w:rPr>
          <w:rFonts w:ascii="Arial" w:cs="Arial" w:eastAsia="Arial" w:hAnsi="Arial"/>
          <w:sz w:val="22"/>
          <w:szCs w:val="22"/>
        </w:rPr>
        <w:t xml:space="preserve">Incorrect access control configurations</w:t>
      </w:r>
    </w:p>
    <w:p>
      <w:pPr>
        <w:pStyle w:val="ListParagraph"/>
        <w:numPr>
          <w:ilvl w:val="0"/>
          <w:numId w:val="2"/>
        </w:numPr>
        <w:spacing w:after="60" w:before="60"/>
      </w:pPr>
      <w:r>
        <w:rPr>
          <w:rFonts w:ascii="Arial" w:cs="Arial" w:eastAsia="Arial" w:hAnsi="Arial"/>
          <w:sz w:val="22"/>
          <w:szCs w:val="22"/>
        </w:rPr>
        <w:t xml:space="preserve">Use of outdated software with known security flaws</w:t>
      </w:r>
    </w:p>
    <w:p>
      <w:pPr>
        <w:pStyle w:val="ListParagraph"/>
        <w:numPr>
          <w:ilvl w:val="0"/>
          <w:numId w:val="2"/>
        </w:numPr>
        <w:spacing w:after="60" w:before="60"/>
      </w:pPr>
      <w:r>
        <w:rPr>
          <w:rFonts w:ascii="Arial" w:cs="Arial" w:eastAsia="Arial" w:hAnsi="Arial"/>
          <w:sz w:val="22"/>
          <w:szCs w:val="22"/>
        </w:rPr>
        <w:t xml:space="preserve">Insecure communication channels (e.g., HTTP instead of HTTPS)</w:t>
      </w:r>
    </w:p>
    <w:p>
      <w:pPr>
        <w:pBdr>
          <w:bottom w:val="single" w:color="E8E8E8" w:sz="4" w:space="1"/>
        </w:pBdr>
        <w:spacing w:after="120" w:before="120"/>
      </w:pPr>
    </w:p>
    <w:p>
      <w:pPr>
        <w:pStyle w:val="Heading1"/>
        <w:spacing w:after="150" w:before="300"/>
      </w:pPr>
      <w:r>
        <w:rPr>
          <w:rFonts w:ascii="Arial" w:cs="Arial" w:eastAsia="Arial" w:hAnsi="Arial"/>
          <w:b/>
          <w:bCs/>
          <w:color w:val="2C3E50"/>
          <w:sz w:val="32"/>
          <w:szCs w:val="32"/>
        </w:rPr>
        <w:t xml:space="preserve">2. What Is OWASP?</w:t>
      </w:r>
    </w:p>
    <w:p>
      <w:pPr>
        <w:spacing w:after="80" w:before="80"/>
      </w:pPr>
      <w:r>
        <w:rPr>
          <w:rFonts w:ascii="Arial" w:cs="Arial" w:eastAsia="Arial" w:hAnsi="Arial"/>
          <w:sz w:val="22"/>
          <w:szCs w:val="22"/>
        </w:rPr>
        <w:t xml:space="preserve">The Open Web Application Security Project (OWASP) is a non-profit foundation dedicated to improving software security. Its flagship resource — the OWASP Top 10 — is a globally recognized list of the most critical web application security risks, updated periodically based on real-world data from security professionals and organizations worldwide.</w:t>
      </w:r>
    </w:p>
    <w:p>
      <w:pPr>
        <w:spacing w:after="80" w:before="80"/>
      </w:pPr>
      <w:r>
        <w:rPr>
          <w:rFonts w:ascii="Arial" w:cs="Arial" w:eastAsia="Arial" w:hAnsi="Arial"/>
          <w:sz w:val="22"/>
          <w:szCs w:val="22"/>
        </w:rPr>
        <w:t xml:space="preserve">The current edition, OWASP Top 10:2021, is the definitive reference for developers, architects, security teams, and auditors. Understanding and addressing these risks forms the baseline of any responsible web security program.</w:t>
      </w:r>
    </w:p>
    <w:p>
      <w:pPr>
        <w:pBdr>
          <w:bottom w:val="single" w:color="E8E8E8" w:sz="4" w:space="1"/>
        </w:pBdr>
        <w:spacing w:after="120" w:before="120"/>
      </w:pPr>
    </w:p>
    <w:p>
      <w:pPr>
        <w:pStyle w:val="Heading1"/>
        <w:spacing w:after="150" w:before="300"/>
      </w:pPr>
      <w:r>
        <w:rPr>
          <w:rFonts w:ascii="Arial" w:cs="Arial" w:eastAsia="Arial" w:hAnsi="Arial"/>
          <w:b/>
          <w:bCs/>
          <w:color w:val="2C3E50"/>
          <w:sz w:val="32"/>
          <w:szCs w:val="32"/>
        </w:rPr>
        <w:t xml:space="preserve">3. OWASP Top 10:2021 — Quick Reference</w:t>
      </w:r>
    </w:p>
    <w:p>
      <w:pPr>
        <w:spacing w:after="80" w:before="80"/>
      </w:pPr>
      <w:r>
        <w:rPr>
          <w:rFonts w:ascii="Arial" w:cs="Arial" w:eastAsia="Arial" w:hAnsi="Arial"/>
          <w:sz w:val="22"/>
          <w:szCs w:val="22"/>
        </w:rPr>
        <w:t xml:space="preserve">The table below summarizes each of the 10 critical vulnerability categories, with a brief description, a real-world example, and key mitigation strategies.</w:t>
      </w:r>
    </w:p>
    <w:p>
      <w:pP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600"/>
        <w:gridCol w:w="2660"/>
      </w:tblGrid>
      <w:tr>
        <w:trPr>
          <w:tblHeader/>
        </w:trPr>
        <w:tc>
          <w:tcPr>
            <w:tcW w:type="dxa" w:w="9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ID</w:t>
            </w:r>
          </w:p>
        </w:tc>
        <w:tc>
          <w:tcPr>
            <w:tcW w:type="dxa" w:w="22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Vulnerability</w:t>
            </w:r>
          </w:p>
        </w:tc>
        <w:tc>
          <w:tcPr>
            <w:tcW w:type="dxa" w:w="360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Description &amp; Example</w:t>
            </w:r>
          </w:p>
        </w:tc>
        <w:tc>
          <w:tcPr>
            <w:tcW w:type="dxa" w:w="2660"/>
            <w:tcBorders>
              <w:top w:val="single" w:color="CCCCCC" w:sz="1"/>
              <w:left w:val="single" w:color="CCCCCC" w:sz="1"/>
              <w:bottom w:val="single" w:color="CCCCCC" w:sz="1"/>
              <w:right w:val="single" w:color="CCCCCC" w:sz="1"/>
            </w:tcBorders>
            <w:shd w:fill="2C3E50" w:val="clear"/>
            <w:tcMar>
              <w:top w:type="dxa" w:w="100"/>
              <w:left w:type="dxa" w:w="120"/>
              <w:bottom w:type="dxa" w:w="100"/>
              <w:right w:type="dxa" w:w="120"/>
            </w:tcMar>
          </w:tcPr>
          <w:p>
            <w:r>
              <w:rPr>
                <w:rFonts w:ascii="Arial" w:cs="Arial" w:eastAsia="Arial" w:hAnsi="Arial"/>
                <w:b/>
                <w:bCs/>
                <w:color w:val="FFFFFF"/>
                <w:sz w:val="20"/>
                <w:szCs w:val="20"/>
              </w:rPr>
              <w:t xml:space="preserve">Mitigation</w:t>
            </w:r>
          </w:p>
        </w:tc>
      </w:tr>
      <w:tr>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bCs/>
                <w:color w:val="C0392B"/>
                <w:sz w:val="20"/>
                <w:szCs w:val="20"/>
              </w:rPr>
              <w:t xml:space="preserve">A01</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Broken Access Control</w:t>
            </w:r>
          </w:p>
        </w:tc>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pPr>
            <w:r>
              <w:rPr>
                <w:rFonts w:ascii="Arial" w:cs="Arial" w:eastAsia="Arial" w:hAnsi="Arial"/>
                <w:sz w:val="18"/>
                <w:szCs w:val="18"/>
              </w:rPr>
              <w:t xml:space="preserve">Restrictions on what authenticated users can do are often not enforced properly. Attackers exploit these flaws to access unauthorized data or functionality.</w:t>
            </w:r>
          </w:p>
          <w:p>
            <w:r>
              <w:rPr>
                <w:rFonts w:ascii="Arial" w:cs="Arial" w:eastAsia="Arial" w:hAnsi="Arial"/>
                <w:b/>
                <w:bCs/>
                <w:color w:val="C0392B"/>
                <w:sz w:val="18"/>
                <w:szCs w:val="18"/>
              </w:rPr>
              <w:t xml:space="preserve">Example: </w:t>
            </w:r>
            <w:r>
              <w:rPr>
                <w:rFonts w:ascii="Arial" w:cs="Arial" w:eastAsia="Arial" w:hAnsi="Arial"/>
                <w:i/>
                <w:iCs/>
                <w:sz w:val="18"/>
                <w:szCs w:val="18"/>
              </w:rPr>
              <w:t xml:space="preserve">A user changes their account ID in the URL to view another user's data.</w:t>
            </w:r>
          </w:p>
        </w:tc>
        <w:tc>
          <w:tcPr>
            <w:tcW w:type="dxa" w:w="2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Enforce least privilege, deny by default, and validate all access server-side.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C0392B"/>
                <w:sz w:val="20"/>
                <w:szCs w:val="20"/>
              </w:rPr>
              <w:t xml:space="preserve">A02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Cryptographic Failures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Sensitive data (passwords, credit cards, health records) is exposed due to weak encryption, no encryption, or poor key management.</w:t>
            </w:r>
          </w:p>
          <w:p>
            <w:r>
              <w:rPr>
                <w:rFonts w:ascii="Arial" w:cs="Arial" w:eastAsia="Arial" w:hAnsi="Arial"/>
                <w:b/>
                <w:bCs/>
                <w:color w:val="C0392B"/>
                <w:sz w:val="18"/>
                <w:szCs w:val="18"/>
              </w:rPr>
              <w:t xml:space="preserve">Example: </w:t>
            </w:r>
            <w:r>
              <w:rPr>
                <w:rFonts w:ascii="Arial" w:cs="Arial" w:eastAsia="Arial" w:hAnsi="Arial"/>
                <w:i/>
                <w:iCs/>
                <w:sz w:val="18"/>
                <w:szCs w:val="18"/>
              </w:rPr>
              <w:t xml:space="preserve">Passwords stored with MD5 hashing instead of bcrypt.</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Use strong algorithms (AES-256, TLS 1.3), never roll your own crypto, and encrypt data at rest and in transit.</w:t>
            </w:r>
          </w:p>
        </w:tc>
      </w:tr>
      <w:tr>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bCs/>
                <w:color w:val="C0392B"/>
                <w:sz w:val="20"/>
                <w:szCs w:val="20"/>
              </w:rPr>
              <w:t xml:space="preserve">A03</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Injection</w:t>
            </w:r>
          </w:p>
        </w:tc>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pPr>
            <w:r>
              <w:rPr>
                <w:rFonts w:ascii="Arial" w:cs="Arial" w:eastAsia="Arial" w:hAnsi="Arial"/>
                <w:sz w:val="18"/>
                <w:szCs w:val="18"/>
              </w:rPr>
              <w:t xml:space="preserve">Untrusted data is sent to an interpreter (SQL, OS, LDAP). Attackers inject hostile commands that execute with application privileges.</w:t>
            </w:r>
          </w:p>
          <w:p>
            <w:r>
              <w:rPr>
                <w:rFonts w:ascii="Arial" w:cs="Arial" w:eastAsia="Arial" w:hAnsi="Arial"/>
                <w:b/>
                <w:bCs/>
                <w:color w:val="C0392B"/>
                <w:sz w:val="18"/>
                <w:szCs w:val="18"/>
              </w:rPr>
              <w:t xml:space="preserve">Example: </w:t>
            </w:r>
            <w:r>
              <w:rPr>
                <w:rFonts w:ascii="Arial" w:cs="Arial" w:eastAsia="Arial" w:hAnsi="Arial"/>
                <w:i/>
                <w:iCs/>
                <w:sz w:val="18"/>
                <w:szCs w:val="18"/>
              </w:rPr>
              <w:t xml:space="preserve">SQL Injection: ' OR '1'='1 bypasses a login form.</w:t>
            </w:r>
          </w:p>
        </w:tc>
        <w:tc>
          <w:tcPr>
            <w:tcW w:type="dxa" w:w="2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Use parameterized queries, input validation, and prepared statements.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C0392B"/>
                <w:sz w:val="20"/>
                <w:szCs w:val="20"/>
              </w:rPr>
              <w:t xml:space="preserve">A04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Insecure Design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Security flaws baked into the system architecture itself—not implementation bugs, but missing or ineffective security controls by design.</w:t>
            </w:r>
          </w:p>
          <w:p>
            <w:r>
              <w:rPr>
                <w:rFonts w:ascii="Arial" w:cs="Arial" w:eastAsia="Arial" w:hAnsi="Arial"/>
                <w:b/>
                <w:bCs/>
                <w:color w:val="C0392B"/>
                <w:sz w:val="18"/>
                <w:szCs w:val="18"/>
              </w:rPr>
              <w:t xml:space="preserve">Example: </w:t>
            </w:r>
            <w:r>
              <w:rPr>
                <w:rFonts w:ascii="Arial" w:cs="Arial" w:eastAsia="Arial" w:hAnsi="Arial"/>
                <w:i/>
                <w:iCs/>
                <w:sz w:val="18"/>
                <w:szCs w:val="18"/>
              </w:rPr>
              <w:t xml:space="preserve">No rate limiting on password reset, allowing brute-force attacks.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Apply threat modeling, secure design patterns, and reference architectures from day one.</w:t>
            </w:r>
          </w:p>
        </w:tc>
      </w:tr>
      <w:tr>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bCs/>
                <w:color w:val="C0392B"/>
                <w:sz w:val="20"/>
                <w:szCs w:val="20"/>
              </w:rPr>
              <w:t xml:space="preserve">A05</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Security Misconfiguration</w:t>
            </w:r>
          </w:p>
        </w:tc>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pPr>
            <w:r>
              <w:rPr>
                <w:rFonts w:ascii="Arial" w:cs="Arial" w:eastAsia="Arial" w:hAnsi="Arial"/>
                <w:sz w:val="18"/>
                <w:szCs w:val="18"/>
              </w:rPr>
              <w:t xml:space="preserve">Insecure default configurations, open cloud storage, verbose error messages, or unnecessary features left enabled expose applications to risk.</w:t>
            </w:r>
          </w:p>
          <w:p>
            <w:r>
              <w:rPr>
                <w:rFonts w:ascii="Arial" w:cs="Arial" w:eastAsia="Arial" w:hAnsi="Arial"/>
                <w:b/>
                <w:bCs/>
                <w:color w:val="C0392B"/>
                <w:sz w:val="18"/>
                <w:szCs w:val="18"/>
              </w:rPr>
              <w:t xml:space="preserve">Example: </w:t>
            </w:r>
            <w:r>
              <w:rPr>
                <w:rFonts w:ascii="Arial" w:cs="Arial" w:eastAsia="Arial" w:hAnsi="Arial"/>
                <w:i/>
                <w:iCs/>
                <w:sz w:val="18"/>
                <w:szCs w:val="18"/>
              </w:rPr>
              <w:t xml:space="preserve">Default admin credentials never changed on a production database.</w:t>
            </w:r>
          </w:p>
        </w:tc>
        <w:tc>
          <w:tcPr>
            <w:tcW w:type="dxa" w:w="2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Harden configurations, disable unused features, and automate config audits.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C0392B"/>
                <w:sz w:val="20"/>
                <w:szCs w:val="20"/>
              </w:rPr>
              <w:t xml:space="preserve">A06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Vulnerable &amp; Outdated Components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Using libraries, frameworks, or software with known vulnerabilities. Attackers scan for outdated components and exploit known CVEs.</w:t>
            </w:r>
          </w:p>
          <w:p>
            <w:r>
              <w:rPr>
                <w:rFonts w:ascii="Arial" w:cs="Arial" w:eastAsia="Arial" w:hAnsi="Arial"/>
                <w:b/>
                <w:bCs/>
                <w:color w:val="C0392B"/>
                <w:sz w:val="18"/>
                <w:szCs w:val="18"/>
              </w:rPr>
              <w:t xml:space="preserve">Example: </w:t>
            </w:r>
            <w:r>
              <w:rPr>
                <w:rFonts w:ascii="Arial" w:cs="Arial" w:eastAsia="Arial" w:hAnsi="Arial"/>
                <w:i/>
                <w:iCs/>
                <w:sz w:val="18"/>
                <w:szCs w:val="18"/>
              </w:rPr>
              <w:t xml:space="preserve">Running an old version of Apache Struts with a remote code execution flaw.</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Continuously monitor dependencies, apply patches promptly, and use SCA tools.</w:t>
            </w:r>
          </w:p>
        </w:tc>
      </w:tr>
      <w:tr>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bCs/>
                <w:color w:val="C0392B"/>
                <w:sz w:val="20"/>
                <w:szCs w:val="20"/>
              </w:rPr>
              <w:t xml:space="preserve">A07</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Identification &amp; Auth Failures</w:t>
            </w:r>
          </w:p>
        </w:tc>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pPr>
            <w:r>
              <w:rPr>
                <w:rFonts w:ascii="Arial" w:cs="Arial" w:eastAsia="Arial" w:hAnsi="Arial"/>
                <w:sz w:val="18"/>
                <w:szCs w:val="18"/>
              </w:rPr>
              <w:t xml:space="preserve">Weaknesses in authentication allow attackers to compromise passwords, keys, or session tokens, impersonating other users.</w:t>
            </w:r>
          </w:p>
          <w:p>
            <w:r>
              <w:rPr>
                <w:rFonts w:ascii="Arial" w:cs="Arial" w:eastAsia="Arial" w:hAnsi="Arial"/>
                <w:b/>
                <w:bCs/>
                <w:color w:val="C0392B"/>
                <w:sz w:val="18"/>
                <w:szCs w:val="18"/>
              </w:rPr>
              <w:t xml:space="preserve">Example: </w:t>
            </w:r>
            <w:r>
              <w:rPr>
                <w:rFonts w:ascii="Arial" w:cs="Arial" w:eastAsia="Arial" w:hAnsi="Arial"/>
                <w:i/>
                <w:iCs/>
                <w:sz w:val="18"/>
                <w:szCs w:val="18"/>
              </w:rPr>
              <w:t xml:space="preserve">Allowing weak passwords or not implementing multi-factor authentication.</w:t>
            </w:r>
          </w:p>
        </w:tc>
        <w:tc>
          <w:tcPr>
            <w:tcW w:type="dxa" w:w="2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Enforce MFA, secure session management, and use modern password hashing.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C0392B"/>
                <w:sz w:val="20"/>
                <w:szCs w:val="20"/>
              </w:rPr>
              <w:t xml:space="preserve">A08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Software &amp; Data Integrity Failures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Code or data updates are applied without integrity verification, allowing supply chain attacks or insecure deserialization.</w:t>
            </w:r>
          </w:p>
          <w:p>
            <w:r>
              <w:rPr>
                <w:rFonts w:ascii="Arial" w:cs="Arial" w:eastAsia="Arial" w:hAnsi="Arial"/>
                <w:b/>
                <w:bCs/>
                <w:color w:val="C0392B"/>
                <w:sz w:val="18"/>
                <w:szCs w:val="18"/>
              </w:rPr>
              <w:t xml:space="preserve">Example: </w:t>
            </w:r>
            <w:r>
              <w:rPr>
                <w:rFonts w:ascii="Arial" w:cs="Arial" w:eastAsia="Arial" w:hAnsi="Arial"/>
                <w:i/>
                <w:iCs/>
                <w:sz w:val="18"/>
                <w:szCs w:val="18"/>
              </w:rPr>
              <w:t xml:space="preserve">CI/CD pipeline pulls a compromised third-party package automatically.</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Use digital signatures, verify software integrity, and audit CI/CD configurations.</w:t>
            </w:r>
          </w:p>
        </w:tc>
      </w:tr>
      <w:tr>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bCs/>
                <w:color w:val="C0392B"/>
                <w:sz w:val="20"/>
                <w:szCs w:val="20"/>
              </w:rPr>
              <w:t xml:space="preserve">A09</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0"/>
                <w:szCs w:val="20"/>
              </w:rPr>
              <w:t xml:space="preserve">Security Logging &amp; Monitoring Failures</w:t>
            </w:r>
          </w:p>
        </w:tc>
        <w:tc>
          <w:tcPr>
            <w:tcW w:type="dxa" w:w="3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pPr>
            <w:r>
              <w:rPr>
                <w:rFonts w:ascii="Arial" w:cs="Arial" w:eastAsia="Arial" w:hAnsi="Arial"/>
                <w:sz w:val="18"/>
                <w:szCs w:val="18"/>
              </w:rPr>
              <w:t xml:space="preserve">Insufficient logging and monitoring means breaches go undetected, giving attackers time to pivot, exfiltrate data, and cause damage.</w:t>
            </w:r>
          </w:p>
          <w:p>
            <w:r>
              <w:rPr>
                <w:rFonts w:ascii="Arial" w:cs="Arial" w:eastAsia="Arial" w:hAnsi="Arial"/>
                <w:b/>
                <w:bCs/>
                <w:color w:val="C0392B"/>
                <w:sz w:val="18"/>
                <w:szCs w:val="18"/>
              </w:rPr>
              <w:t xml:space="preserve">Example: </w:t>
            </w:r>
            <w:r>
              <w:rPr>
                <w:rFonts w:ascii="Arial" w:cs="Arial" w:eastAsia="Arial" w:hAnsi="Arial"/>
                <w:i/>
                <w:iCs/>
                <w:sz w:val="18"/>
                <w:szCs w:val="18"/>
              </w:rPr>
              <w:t xml:space="preserve">No alerts triggered after repeated failed login attempts.</w:t>
            </w:r>
          </w:p>
        </w:tc>
        <w:tc>
          <w:tcPr>
            <w:tcW w:type="dxa" w:w="2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18"/>
                <w:szCs w:val="18"/>
              </w:rPr>
              <w:t xml:space="preserve">Log all authentication events, set up real-time alerting, and regularly review logs.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C0392B"/>
                <w:sz w:val="20"/>
                <w:szCs w:val="20"/>
              </w:rPr>
              <w:t xml:space="preserve">A10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Server-Side Request Forgery (SSRF)</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sz w:val="18"/>
                <w:szCs w:val="18"/>
              </w:rPr>
              <w:t xml:space="preserve">The server is tricked into making HTTP requests to unintended locations—internal services, metadata endpoints, or external attackers.</w:t>
            </w:r>
          </w:p>
          <w:p>
            <w:r>
              <w:rPr>
                <w:rFonts w:ascii="Arial" w:cs="Arial" w:eastAsia="Arial" w:hAnsi="Arial"/>
                <w:b/>
                <w:bCs/>
                <w:color w:val="C0392B"/>
                <w:sz w:val="18"/>
                <w:szCs w:val="18"/>
              </w:rPr>
              <w:t xml:space="preserve">Example: </w:t>
            </w:r>
            <w:r>
              <w:rPr>
                <w:rFonts w:ascii="Arial" w:cs="Arial" w:eastAsia="Arial" w:hAnsi="Arial"/>
                <w:i/>
                <w:iCs/>
                <w:sz w:val="18"/>
                <w:szCs w:val="18"/>
              </w:rPr>
              <w:t xml:space="preserve">An image URL field is used to fetch internal cloud metadata at 169.254.169.254.</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Validate and sanitize all user-supplied URLs, block internal IP ranges, and use allowlists.</w:t>
            </w:r>
          </w:p>
        </w:tc>
      </w:tr>
    </w:tbl>
    <w:p>
      <w:pPr>
        <w:spacing w:after="200" w:before="200"/>
      </w:pPr>
    </w:p>
    <w:p>
      <w:r>
        <w:br w:type="page"/>
      </w:r>
    </w:p>
    <w:p>
      <w:pPr>
        <w:pStyle w:val="Heading1"/>
        <w:spacing w:after="150" w:before="300"/>
      </w:pPr>
      <w:r>
        <w:rPr>
          <w:rFonts w:ascii="Arial" w:cs="Arial" w:eastAsia="Arial" w:hAnsi="Arial"/>
          <w:b/>
          <w:bCs/>
          <w:color w:val="2C3E50"/>
          <w:sz w:val="32"/>
          <w:szCs w:val="32"/>
        </w:rPr>
        <w:t xml:space="preserve">4. Why Web Security Matters</w:t>
      </w:r>
    </w:p>
    <w:p>
      <w:pPr>
        <w:spacing w:after="80" w:before="80"/>
      </w:pPr>
      <w:r>
        <w:rPr>
          <w:rFonts w:ascii="Arial" w:cs="Arial" w:eastAsia="Arial" w:hAnsi="Arial"/>
          <w:sz w:val="22"/>
          <w:szCs w:val="22"/>
        </w:rPr>
        <w:t xml:space="preserve">Web vulnerabilities are not theoretical — they are actively exploited every day. Consequences of poor web security include financial loss, reputational damage, legal liability, data breaches, and service disruption. High-profile breaches consistently trace back to one or more OWASP Top 10 categories.</w:t>
      </w:r>
    </w:p>
    <w:p>
      <w:pPr>
        <w:spacing w:after="80" w:before="80"/>
      </w:pPr>
      <w:r>
        <w:rPr>
          <w:rFonts w:ascii="Arial" w:cs="Arial" w:eastAsia="Arial" w:hAnsi="Arial"/>
          <w:sz w:val="22"/>
          <w:szCs w:val="22"/>
        </w:rPr>
        <w:t xml:space="preserve">Key reasons to prioritize web security:</w:t>
      </w:r>
    </w:p>
    <w:p>
      <w:pPr>
        <w:pStyle w:val="ListParagraph"/>
        <w:numPr>
          <w:ilvl w:val="0"/>
          <w:numId w:val="2"/>
        </w:numPr>
        <w:spacing w:after="60" w:before="60"/>
      </w:pPr>
      <w:r>
        <w:rPr>
          <w:rFonts w:ascii="Arial" w:cs="Arial" w:eastAsia="Arial" w:hAnsi="Arial"/>
          <w:b/>
          <w:bCs/>
          <w:sz w:val="22"/>
          <w:szCs w:val="22"/>
        </w:rPr>
        <w:t xml:space="preserve">Financial Impact: </w:t>
      </w:r>
      <w:r>
        <w:rPr>
          <w:rFonts w:ascii="Arial" w:cs="Arial" w:eastAsia="Arial" w:hAnsi="Arial"/>
          <w:sz w:val="22"/>
          <w:szCs w:val="22"/>
        </w:rPr>
        <w:t xml:space="preserve">Data breaches expose sensitive user and business information.</w:t>
      </w:r>
    </w:p>
    <w:p>
      <w:pPr>
        <w:pStyle w:val="ListParagraph"/>
        <w:numPr>
          <w:ilvl w:val="0"/>
          <w:numId w:val="2"/>
        </w:numPr>
        <w:spacing w:after="60" w:before="60"/>
      </w:pPr>
      <w:r>
        <w:rPr>
          <w:rFonts w:ascii="Arial" w:cs="Arial" w:eastAsia="Arial" w:hAnsi="Arial"/>
          <w:b/>
          <w:bCs/>
          <w:sz w:val="22"/>
          <w:szCs w:val="22"/>
        </w:rPr>
        <w:t xml:space="preserve">Regulatory Compliance: </w:t>
      </w:r>
      <w:r>
        <w:rPr>
          <w:rFonts w:ascii="Arial" w:cs="Arial" w:eastAsia="Arial" w:hAnsi="Arial"/>
          <w:sz w:val="22"/>
          <w:szCs w:val="22"/>
        </w:rPr>
        <w:t xml:space="preserve">Regulators (GDPR, PCI-DSS, HIPAA) mandate security controls.</w:t>
      </w:r>
    </w:p>
    <w:p>
      <w:pPr>
        <w:pStyle w:val="ListParagraph"/>
        <w:numPr>
          <w:ilvl w:val="0"/>
          <w:numId w:val="2"/>
        </w:numPr>
        <w:spacing w:after="60" w:before="60"/>
      </w:pPr>
      <w:r>
        <w:rPr>
          <w:rFonts w:ascii="Arial" w:cs="Arial" w:eastAsia="Arial" w:hAnsi="Arial"/>
          <w:b/>
          <w:bCs/>
          <w:sz w:val="22"/>
          <w:szCs w:val="22"/>
        </w:rPr>
        <w:t xml:space="preserve">Trust &amp; Reputation: </w:t>
      </w:r>
      <w:r>
        <w:rPr>
          <w:rFonts w:ascii="Arial" w:cs="Arial" w:eastAsia="Arial" w:hAnsi="Arial"/>
          <w:sz w:val="22"/>
          <w:szCs w:val="22"/>
        </w:rPr>
        <w:t xml:space="preserve">Security incidents erode customer trust and brand reputation.</w:t>
      </w:r>
    </w:p>
    <w:p>
      <w:pPr>
        <w:pStyle w:val="ListParagraph"/>
        <w:numPr>
          <w:ilvl w:val="0"/>
          <w:numId w:val="2"/>
        </w:numPr>
        <w:spacing w:after="60" w:before="60"/>
      </w:pPr>
      <w:r>
        <w:rPr>
          <w:rFonts w:ascii="Arial" w:cs="Arial" w:eastAsia="Arial" w:hAnsi="Arial"/>
          <w:b/>
          <w:bCs/>
          <w:sz w:val="22"/>
          <w:szCs w:val="22"/>
        </w:rPr>
        <w:t xml:space="preserve">Cost of Remediation: </w:t>
      </w:r>
      <w:r>
        <w:rPr>
          <w:rFonts w:ascii="Arial" w:cs="Arial" w:eastAsia="Arial" w:hAnsi="Arial"/>
          <w:sz w:val="22"/>
          <w:szCs w:val="22"/>
        </w:rPr>
        <w:t xml:space="preserve">Fixing vulnerabilities post-deployment is 10x–100x more expensive.</w:t>
      </w:r>
    </w:p>
    <w:p>
      <w:pPr>
        <w:pBdr>
          <w:bottom w:val="single" w:color="E8E8E8" w:sz="4" w:space="1"/>
        </w:pBdr>
        <w:spacing w:after="120" w:before="120"/>
      </w:pPr>
    </w:p>
    <w:p>
      <w:pPr>
        <w:pStyle w:val="Heading1"/>
        <w:spacing w:after="150" w:before="300"/>
      </w:pPr>
      <w:r>
        <w:rPr>
          <w:rFonts w:ascii="Arial" w:cs="Arial" w:eastAsia="Arial" w:hAnsi="Arial"/>
          <w:b/>
          <w:bCs/>
          <w:color w:val="2C3E50"/>
          <w:sz w:val="32"/>
          <w:szCs w:val="32"/>
        </w:rPr>
        <w:t xml:space="preserve">5. Security Best Practices Summary</w:t>
      </w:r>
    </w:p>
    <w:p>
      <w:pPr>
        <w:spacing w:after="80" w:before="80"/>
      </w:pPr>
      <w:r>
        <w:rPr>
          <w:rFonts w:ascii="Arial" w:cs="Arial" w:eastAsia="Arial" w:hAnsi="Arial"/>
          <w:sz w:val="22"/>
          <w:szCs w:val="22"/>
        </w:rPr>
        <w:t xml:space="preserve">Beyond addressing specific OWASP categories, organizations should adopt a holistic security culture:</w:t>
      </w:r>
    </w:p>
    <w:p>
      <w:pPr>
        <w:pStyle w:val="ListParagraph"/>
        <w:numPr>
          <w:ilvl w:val="0"/>
          <w:numId w:val="2"/>
        </w:numPr>
        <w:spacing w:after="60" w:before="60"/>
      </w:pPr>
      <w:r>
        <w:rPr>
          <w:rFonts w:ascii="Arial" w:cs="Arial" w:eastAsia="Arial" w:hAnsi="Arial"/>
          <w:sz w:val="22"/>
          <w:szCs w:val="22"/>
        </w:rPr>
        <w:t xml:space="preserve">Adopt a Shift-Left approach — integrate security testing early in the development lifecycle (DevSecOps).</w:t>
      </w:r>
    </w:p>
    <w:p>
      <w:pPr>
        <w:pStyle w:val="ListParagraph"/>
        <w:numPr>
          <w:ilvl w:val="0"/>
          <w:numId w:val="2"/>
        </w:numPr>
        <w:spacing w:after="60" w:before="60"/>
      </w:pPr>
      <w:r>
        <w:rPr>
          <w:rFonts w:ascii="Arial" w:cs="Arial" w:eastAsia="Arial" w:hAnsi="Arial"/>
          <w:sz w:val="22"/>
          <w:szCs w:val="22"/>
        </w:rPr>
        <w:t xml:space="preserve">Conduct regular penetration testing and code reviews to surface hidden vulnerabilities.</w:t>
      </w:r>
    </w:p>
    <w:p>
      <w:pPr>
        <w:pStyle w:val="ListParagraph"/>
        <w:numPr>
          <w:ilvl w:val="0"/>
          <w:numId w:val="2"/>
        </w:numPr>
        <w:spacing w:after="60" w:before="60"/>
      </w:pPr>
      <w:r>
        <w:rPr>
          <w:rFonts w:ascii="Arial" w:cs="Arial" w:eastAsia="Arial" w:hAnsi="Arial"/>
          <w:sz w:val="22"/>
          <w:szCs w:val="22"/>
        </w:rPr>
        <w:t xml:space="preserve">Train developers in secure coding practices and threat modeling.</w:t>
      </w:r>
    </w:p>
    <w:p>
      <w:pPr>
        <w:pStyle w:val="ListParagraph"/>
        <w:numPr>
          <w:ilvl w:val="0"/>
          <w:numId w:val="2"/>
        </w:numPr>
        <w:spacing w:after="60" w:before="60"/>
      </w:pPr>
      <w:r>
        <w:rPr>
          <w:rFonts w:ascii="Arial" w:cs="Arial" w:eastAsia="Arial" w:hAnsi="Arial"/>
          <w:sz w:val="22"/>
          <w:szCs w:val="22"/>
        </w:rPr>
        <w:t xml:space="preserve">Implement a Web Application Firewall (WAF) as a defense-in-depth layer.</w:t>
      </w:r>
    </w:p>
    <w:p>
      <w:pPr>
        <w:pStyle w:val="ListParagraph"/>
        <w:numPr>
          <w:ilvl w:val="0"/>
          <w:numId w:val="2"/>
        </w:numPr>
        <w:spacing w:after="60" w:before="60"/>
      </w:pPr>
      <w:r>
        <w:rPr>
          <w:rFonts w:ascii="Arial" w:cs="Arial" w:eastAsia="Arial" w:hAnsi="Arial"/>
          <w:sz w:val="22"/>
          <w:szCs w:val="22"/>
        </w:rPr>
        <w:t xml:space="preserve">Follow the principle of least privilege for all users, services, and components.</w:t>
      </w:r>
    </w:p>
    <w:p>
      <w:pPr>
        <w:pStyle w:val="ListParagraph"/>
        <w:numPr>
          <w:ilvl w:val="0"/>
          <w:numId w:val="2"/>
        </w:numPr>
        <w:spacing w:after="60" w:before="60"/>
      </w:pPr>
      <w:r>
        <w:rPr>
          <w:rFonts w:ascii="Arial" w:cs="Arial" w:eastAsia="Arial" w:hAnsi="Arial"/>
          <w:sz w:val="22"/>
          <w:szCs w:val="22"/>
        </w:rPr>
        <w:t xml:space="preserve">Keep a Software Bill of Materials (SBOM) and monitor all dependencies continuously.</w:t>
      </w:r>
    </w:p>
    <w:p>
      <w:pPr>
        <w:pStyle w:val="ListParagraph"/>
        <w:numPr>
          <w:ilvl w:val="0"/>
          <w:numId w:val="2"/>
        </w:numPr>
        <w:spacing w:after="60" w:before="60"/>
      </w:pPr>
      <w:r>
        <w:rPr>
          <w:rFonts w:ascii="Arial" w:cs="Arial" w:eastAsia="Arial" w:hAnsi="Arial"/>
          <w:sz w:val="22"/>
          <w:szCs w:val="22"/>
        </w:rPr>
        <w:t xml:space="preserve">Establish an incident response plan so breaches are contained and recovered quickly.</w:t>
      </w:r>
    </w:p>
    <w:p>
      <w:pPr>
        <w:pBdr>
          <w:bottom w:val="single" w:color="E8E8E8" w:sz="4" w:space="1"/>
        </w:pBdr>
        <w:spacing w:after="120" w:before="120"/>
      </w:pPr>
    </w:p>
    <w:p>
      <w:pPr>
        <w:spacing w:after="0" w:before="240"/>
        <w:jc w:val="center"/>
      </w:pPr>
      <w:r>
        <w:rPr>
          <w:rFonts w:ascii="Arial" w:cs="Arial" w:eastAsia="Arial" w:hAnsi="Arial"/>
          <w:i/>
          <w:iCs/>
          <w:color w:val="999999"/>
          <w:sz w:val="18"/>
          <w:szCs w:val="18"/>
        </w:rPr>
        <w:t xml:space="preserve">Reference: owasp.org/Top10  |  Document prepared for educational purposes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2C3E50"/>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C0392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2026-06-26T08:00:11.275Z</dcterms:created>
  <dcterms:modified xsi:type="dcterms:W3CDTF">2026-06-26T08:00:11.276Z</dcterms:modified>
</cp:coreProperties>
</file>

<file path=docProps/custom.xml><?xml version="1.0" encoding="utf-8"?>
<Properties xmlns="http://schemas.openxmlformats.org/officeDocument/2006/custom-properties" xmlns:vt="http://schemas.openxmlformats.org/officeDocument/2006/docPropsVTypes"/>
</file>