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F16D1" w14:textId="2B9FD5A9" w:rsidR="006D39B6" w:rsidRPr="00515F24" w:rsidRDefault="006D39B6" w:rsidP="006D39B6">
      <w:pPr>
        <w:rPr>
          <w:rFonts w:ascii="Calibri" w:hAnsi="Calibri" w:cs="Calibri"/>
          <w:b/>
          <w:bCs/>
        </w:rPr>
      </w:pPr>
      <w:r w:rsidRPr="00515F24">
        <w:rPr>
          <w:rFonts w:ascii="Calibri" w:hAnsi="Calibri" w:cs="Calibri"/>
          <w:b/>
          <w:bCs/>
        </w:rPr>
        <w:t>Slide 1: Title Slide</w:t>
      </w:r>
    </w:p>
    <w:p w14:paraId="4E5B24AB" w14:textId="019B8E38"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 xml:space="preserve">Good day, everyone. Today, </w:t>
      </w:r>
      <w:r w:rsidR="00515F24" w:rsidRPr="00515F24">
        <w:rPr>
          <w:rFonts w:ascii="Calibri" w:hAnsi="Calibri" w:cs="Calibri"/>
        </w:rPr>
        <w:t>we</w:t>
      </w:r>
      <w:r w:rsidRPr="00515F24">
        <w:rPr>
          <w:rFonts w:ascii="Calibri" w:hAnsi="Calibri" w:cs="Calibri"/>
        </w:rPr>
        <w:t xml:space="preserve"> present a pivotal initiative for TechnoHealth Solutions—developing a comprehensive data governance framework. This framework is not just a necessity but a strategic imperative for supporting TechnoHealth’s growth, innovation, and leadership in AI-driven healthcare technology.</w:t>
      </w:r>
    </w:p>
    <w:p w14:paraId="199A9EAC" w14:textId="5837D98F"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 xml:space="preserve">Our team—Pooja, Ezhilarasu, Pritam, Sowjanya, and </w:t>
      </w:r>
      <w:proofErr w:type="gramStart"/>
      <w:r w:rsidRPr="00515F24">
        <w:rPr>
          <w:rFonts w:ascii="Calibri" w:hAnsi="Calibri" w:cs="Calibri"/>
        </w:rPr>
        <w:t>myself</w:t>
      </w:r>
      <w:proofErr w:type="gramEnd"/>
      <w:r w:rsidRPr="00515F24">
        <w:rPr>
          <w:rFonts w:ascii="Calibri" w:hAnsi="Calibri" w:cs="Calibri"/>
        </w:rPr>
        <w:t>, Ritesh—has crafted a solution that tackles TechnoHealth’s unique challenges. We will walk through how this framework aligns with the company’s goals and the significant benefits it will deliver.</w:t>
      </w:r>
    </w:p>
    <w:p w14:paraId="52DCDEA4" w14:textId="35E269FB" w:rsidR="006D39B6" w:rsidRPr="00515F24" w:rsidRDefault="006D39B6" w:rsidP="006D39B6">
      <w:pPr>
        <w:rPr>
          <w:rFonts w:ascii="Calibri" w:hAnsi="Calibri" w:cs="Calibri"/>
          <w:b/>
          <w:bCs/>
        </w:rPr>
      </w:pPr>
      <w:r w:rsidRPr="00515F24">
        <w:rPr>
          <w:rFonts w:ascii="Calibri" w:hAnsi="Calibri" w:cs="Calibri"/>
          <w:b/>
          <w:bCs/>
        </w:rPr>
        <w:t>Slide 2: Company Overview</w:t>
      </w:r>
    </w:p>
    <w:p w14:paraId="7E560E9E" w14:textId="733457BF"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Founded in 2015, TechnoHealth Solutions is a leader in AI-driven healthcare technology. The company specializes in diagnostic tools and personalized treatment systems, leveraging AI to improve patient outcomes.</w:t>
      </w:r>
    </w:p>
    <w:p w14:paraId="467BC9D2" w14:textId="6C350547"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With 500 employees operating across North America and Europe, TechnoHealth manages vast amounts of sensitive data, ranging from medical records and genetic information to real-time health metrics.</w:t>
      </w:r>
    </w:p>
    <w:p w14:paraId="3F29E774" w14:textId="3918803A" w:rsidR="006D39B6" w:rsidRPr="00515F24" w:rsidRDefault="006D39B6" w:rsidP="006D39B6">
      <w:pPr>
        <w:pStyle w:val="ListParagraph"/>
        <w:numPr>
          <w:ilvl w:val="0"/>
          <w:numId w:val="7"/>
        </w:numPr>
        <w:rPr>
          <w:rFonts w:ascii="Calibri" w:hAnsi="Calibri" w:cs="Calibri"/>
        </w:rPr>
      </w:pPr>
      <w:r w:rsidRPr="00515F24">
        <w:rPr>
          <w:rFonts w:ascii="Calibri" w:hAnsi="Calibri" w:cs="Calibri"/>
        </w:rPr>
        <w:t>As the company grows, so does the complexity of managing this data. A robust data governance framework is essential to ensure compliance with regulatory requirements, maintain data integrity, and protect against security threats.</w:t>
      </w:r>
    </w:p>
    <w:p w14:paraId="45A13238" w14:textId="2B48DCEF" w:rsidR="006D39B6" w:rsidRPr="00515F24" w:rsidRDefault="006D39B6" w:rsidP="006D39B6">
      <w:pPr>
        <w:rPr>
          <w:rFonts w:ascii="Calibri" w:hAnsi="Calibri" w:cs="Calibri"/>
          <w:b/>
          <w:bCs/>
        </w:rPr>
      </w:pPr>
      <w:r w:rsidRPr="00515F24">
        <w:rPr>
          <w:rFonts w:ascii="Calibri" w:hAnsi="Calibri" w:cs="Calibri"/>
          <w:b/>
          <w:bCs/>
        </w:rPr>
        <w:t>Slide 3: Industry Context</w:t>
      </w:r>
    </w:p>
    <w:p w14:paraId="54106975" w14:textId="14E59469"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The healthcare industry is undergoing significant transformation due to digitization, the proliferation of IoT devices, and the integration of AI and machine learning. This has led to an explosion of data, presenting both opportunities and challenges.</w:t>
      </w:r>
    </w:p>
    <w:p w14:paraId="14AA828D" w14:textId="7D9F5864"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TechnoHealth operates in a heavily regulated environment. Regulations like HIPAA in the U.S. and GDPR in Europe impose strict requirements on data management. Non-compliance can result in severe penalties and reputational damage.</w:t>
      </w:r>
    </w:p>
    <w:p w14:paraId="0A82028A" w14:textId="51E3ABB5" w:rsidR="00515F24" w:rsidRPr="00515F24" w:rsidRDefault="006D39B6" w:rsidP="006D39B6">
      <w:pPr>
        <w:pStyle w:val="ListParagraph"/>
        <w:numPr>
          <w:ilvl w:val="0"/>
          <w:numId w:val="7"/>
        </w:numPr>
        <w:rPr>
          <w:rFonts w:ascii="Calibri" w:hAnsi="Calibri" w:cs="Calibri"/>
        </w:rPr>
      </w:pPr>
      <w:r w:rsidRPr="00515F24">
        <w:rPr>
          <w:rFonts w:ascii="Calibri" w:hAnsi="Calibri" w:cs="Calibri"/>
        </w:rPr>
        <w:t>High-quality, well-governed data is crucial for AI-driven healthcare. Without it, the accuracy and reliability of AI models could be compromised, potentially endangering patient safety and undermining TechnoHealth’s strategic initiatives.</w:t>
      </w:r>
    </w:p>
    <w:p w14:paraId="51B2936A" w14:textId="332B9D54" w:rsidR="006D39B6" w:rsidRPr="00515F24" w:rsidRDefault="006D39B6" w:rsidP="006D39B6">
      <w:pPr>
        <w:rPr>
          <w:rFonts w:ascii="Calibri" w:hAnsi="Calibri" w:cs="Calibri"/>
          <w:b/>
          <w:bCs/>
        </w:rPr>
      </w:pPr>
      <w:r w:rsidRPr="00515F24">
        <w:rPr>
          <w:rFonts w:ascii="Calibri" w:hAnsi="Calibri" w:cs="Calibri"/>
          <w:b/>
          <w:bCs/>
        </w:rPr>
        <w:t>Slide 4: Agenda</w:t>
      </w:r>
    </w:p>
    <w:p w14:paraId="4ACE3DCC" w14:textId="4A4FD0A0"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Today’s presentation will cover: an Executive Summary, an overview of data governance, TechnoHealth’s unique challenges, our proposed data governance framework, compliance and security strategies, the implementation roadmap, and how we’ll measure success and long-term benefits.</w:t>
      </w:r>
    </w:p>
    <w:p w14:paraId="6525915A" w14:textId="77777777" w:rsidR="006D39B6" w:rsidRDefault="006D39B6" w:rsidP="006D39B6">
      <w:pPr>
        <w:rPr>
          <w:rFonts w:ascii="Calibri" w:hAnsi="Calibri" w:cs="Calibri"/>
        </w:rPr>
      </w:pPr>
    </w:p>
    <w:p w14:paraId="5D7152F5" w14:textId="77777777" w:rsidR="00515F24" w:rsidRPr="00515F24" w:rsidRDefault="00515F24" w:rsidP="006D39B6">
      <w:pPr>
        <w:rPr>
          <w:rFonts w:ascii="Calibri" w:hAnsi="Calibri" w:cs="Calibri"/>
        </w:rPr>
      </w:pPr>
    </w:p>
    <w:p w14:paraId="6D460628" w14:textId="6D2A5932" w:rsidR="006D39B6" w:rsidRPr="00515F24" w:rsidRDefault="006D39B6" w:rsidP="006D39B6">
      <w:pPr>
        <w:rPr>
          <w:rFonts w:ascii="Calibri" w:hAnsi="Calibri" w:cs="Calibri"/>
          <w:b/>
          <w:bCs/>
        </w:rPr>
      </w:pPr>
      <w:r w:rsidRPr="00515F24">
        <w:rPr>
          <w:rFonts w:ascii="Calibri" w:hAnsi="Calibri" w:cs="Calibri"/>
          <w:b/>
          <w:bCs/>
        </w:rPr>
        <w:lastRenderedPageBreak/>
        <w:t>Slide 5: Executive Summary</w:t>
      </w:r>
    </w:p>
    <w:p w14:paraId="32670BEB" w14:textId="69F63E3A"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Our proposal outlines a robust, scalable data governance framework tailored to TechnoHealth’s needs, focusing on data protection, regulatory compliance, and scalability.</w:t>
      </w:r>
    </w:p>
    <w:p w14:paraId="3640F2B0" w14:textId="758C9E32"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Effective data governance is crucial for maintaining TechnoHealth’s leadership in AI-driven healthcare. Managing and securing data is not just operationally necessary—it’s a competitive advantage.</w:t>
      </w:r>
    </w:p>
    <w:p w14:paraId="65CD2C59" w14:textId="040FF30A" w:rsidR="006D39B6" w:rsidRPr="00515F24" w:rsidRDefault="006D39B6" w:rsidP="006D39B6">
      <w:pPr>
        <w:pStyle w:val="ListParagraph"/>
        <w:numPr>
          <w:ilvl w:val="0"/>
          <w:numId w:val="7"/>
        </w:numPr>
        <w:rPr>
          <w:rFonts w:ascii="Calibri" w:hAnsi="Calibri" w:cs="Calibri"/>
        </w:rPr>
      </w:pPr>
      <w:r w:rsidRPr="00515F24">
        <w:rPr>
          <w:rFonts w:ascii="Calibri" w:hAnsi="Calibri" w:cs="Calibri"/>
        </w:rPr>
        <w:t>Our key goals include protecting patient data, ensuring regulatory compliance, enhancing data accessibility, and establishing scalable data management practices.</w:t>
      </w:r>
    </w:p>
    <w:p w14:paraId="0B2B4CD8" w14:textId="02B2C4DB" w:rsidR="006D39B6" w:rsidRPr="00515F24" w:rsidRDefault="006D39B6" w:rsidP="006D39B6">
      <w:pPr>
        <w:rPr>
          <w:rFonts w:ascii="Calibri" w:hAnsi="Calibri" w:cs="Calibri"/>
          <w:b/>
          <w:bCs/>
        </w:rPr>
      </w:pPr>
      <w:r w:rsidRPr="00515F24">
        <w:rPr>
          <w:rFonts w:ascii="Calibri" w:hAnsi="Calibri" w:cs="Calibri"/>
          <w:b/>
          <w:bCs/>
        </w:rPr>
        <w:t>Slide 6: Data Governance</w:t>
      </w:r>
    </w:p>
    <w:p w14:paraId="172FAD46" w14:textId="5FCBBD5B"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Data governance involves managing the availability, usability, integrity, and security of data. In healthcare, these aspects are essential for upholding legal, ethical, and operational standards.</w:t>
      </w:r>
    </w:p>
    <w:p w14:paraId="1B170FC1" w14:textId="625757FA"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High-quality data is the foundation of effective healthcare, ensuring accurate clinical decisions and patient safety. Robust security measures are necessary to protect patient data from breaches.</w:t>
      </w:r>
    </w:p>
    <w:p w14:paraId="22C7DF81" w14:textId="2AF136E2" w:rsidR="006D39B6" w:rsidRPr="00515F24" w:rsidRDefault="006D39B6" w:rsidP="006D39B6">
      <w:pPr>
        <w:pStyle w:val="ListParagraph"/>
        <w:numPr>
          <w:ilvl w:val="0"/>
          <w:numId w:val="7"/>
        </w:numPr>
        <w:rPr>
          <w:rFonts w:ascii="Calibri" w:hAnsi="Calibri" w:cs="Calibri"/>
        </w:rPr>
      </w:pPr>
      <w:r w:rsidRPr="00515F24">
        <w:rPr>
          <w:rFonts w:ascii="Calibri" w:hAnsi="Calibri" w:cs="Calibri"/>
        </w:rPr>
        <w:t>Adhering to regulations like HIPAA and GDPR is a legal requirement. Our framework includes comprehensive strategies for managing data inventory, quality, security, and lifecycle, ensuring compliance throughout.</w:t>
      </w:r>
    </w:p>
    <w:p w14:paraId="68D61CF2" w14:textId="69EDED54" w:rsidR="006D39B6" w:rsidRPr="00515F24" w:rsidRDefault="006D39B6" w:rsidP="006D39B6">
      <w:pPr>
        <w:rPr>
          <w:rFonts w:ascii="Calibri" w:hAnsi="Calibri" w:cs="Calibri"/>
          <w:b/>
          <w:bCs/>
        </w:rPr>
      </w:pPr>
      <w:r w:rsidRPr="00515F24">
        <w:rPr>
          <w:rFonts w:ascii="Calibri" w:hAnsi="Calibri" w:cs="Calibri"/>
          <w:b/>
          <w:bCs/>
        </w:rPr>
        <w:t>Slide 7: Unique Challenges</w:t>
      </w:r>
    </w:p>
    <w:p w14:paraId="79215BE2" w14:textId="5B70A8D1"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TechnoHealth faces several challenges: managing diverse data types, navigating complex regulations across multiple jurisdictions, scaling data management as the company grows, and maintaining data integrity for AI-driven diagnostics.</w:t>
      </w:r>
    </w:p>
    <w:p w14:paraId="35C88F2B" w14:textId="58F98FB9" w:rsidR="00515F24" w:rsidRPr="00515F24" w:rsidRDefault="006D39B6" w:rsidP="006D39B6">
      <w:pPr>
        <w:pStyle w:val="ListParagraph"/>
        <w:numPr>
          <w:ilvl w:val="0"/>
          <w:numId w:val="7"/>
        </w:numPr>
        <w:rPr>
          <w:rFonts w:ascii="Calibri" w:hAnsi="Calibri" w:cs="Calibri"/>
        </w:rPr>
      </w:pPr>
      <w:r w:rsidRPr="00515F24">
        <w:rPr>
          <w:rFonts w:ascii="Calibri" w:hAnsi="Calibri" w:cs="Calibri"/>
        </w:rPr>
        <w:t>These challenges necessitate a tailored data governance framework capable of addressing the specific complexities of the healthcare sector.</w:t>
      </w:r>
    </w:p>
    <w:p w14:paraId="29A94571" w14:textId="3CF28DCF" w:rsidR="006D39B6" w:rsidRPr="00515F24" w:rsidRDefault="006D39B6" w:rsidP="006D39B6">
      <w:pPr>
        <w:rPr>
          <w:rFonts w:ascii="Calibri" w:hAnsi="Calibri" w:cs="Calibri"/>
          <w:b/>
          <w:bCs/>
        </w:rPr>
      </w:pPr>
      <w:r w:rsidRPr="00515F24">
        <w:rPr>
          <w:rFonts w:ascii="Calibri" w:hAnsi="Calibri" w:cs="Calibri"/>
          <w:b/>
          <w:bCs/>
        </w:rPr>
        <w:t>Slide 8: Proposed Data Governance Framework Overview</w:t>
      </w:r>
    </w:p>
    <w:p w14:paraId="5DD9C38F" w14:textId="0B714B3F"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Our proposed framework includes AI-driven tools for data inventory and classification, automated data validation for quality management, end-to-end encryption, a Zero Trust security model, and regular security assessments.</w:t>
      </w:r>
    </w:p>
    <w:p w14:paraId="0630380B" w14:textId="2F81EC5C"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To ensure regulatory compliance, we recommend developing a compliance mapping tool that aligns TechnoHealth’s data processes with HIPAA, GDPR, and other regulations.</w:t>
      </w:r>
    </w:p>
    <w:p w14:paraId="4DBF40A1" w14:textId="79C0F526" w:rsidR="006D39B6" w:rsidRDefault="006D39B6" w:rsidP="006D39B6">
      <w:pPr>
        <w:pStyle w:val="ListParagraph"/>
        <w:numPr>
          <w:ilvl w:val="0"/>
          <w:numId w:val="7"/>
        </w:numPr>
        <w:rPr>
          <w:rFonts w:ascii="Calibri" w:hAnsi="Calibri" w:cs="Calibri"/>
        </w:rPr>
      </w:pPr>
      <w:r w:rsidRPr="00515F24">
        <w:rPr>
          <w:rFonts w:ascii="Calibri" w:hAnsi="Calibri" w:cs="Calibri"/>
        </w:rPr>
        <w:t>The framework also includes intelligent data lifecycle management, with automated data retention, archiving, and lineage tracking, providing full transparency and accountability.</w:t>
      </w:r>
    </w:p>
    <w:p w14:paraId="4BF11736" w14:textId="77777777" w:rsidR="00515F24" w:rsidRDefault="00515F24" w:rsidP="00515F24">
      <w:pPr>
        <w:rPr>
          <w:rFonts w:ascii="Calibri" w:hAnsi="Calibri" w:cs="Calibri"/>
        </w:rPr>
      </w:pPr>
    </w:p>
    <w:p w14:paraId="00F1B3D1" w14:textId="77777777" w:rsidR="00515F24" w:rsidRPr="00515F24" w:rsidRDefault="00515F24" w:rsidP="00515F24">
      <w:pPr>
        <w:rPr>
          <w:rFonts w:ascii="Calibri" w:hAnsi="Calibri" w:cs="Calibri"/>
        </w:rPr>
      </w:pPr>
    </w:p>
    <w:p w14:paraId="3D1F39E1" w14:textId="0393CE45" w:rsidR="006D39B6" w:rsidRPr="00515F24" w:rsidRDefault="006D39B6" w:rsidP="006D39B6">
      <w:pPr>
        <w:rPr>
          <w:rFonts w:ascii="Calibri" w:hAnsi="Calibri" w:cs="Calibri"/>
          <w:b/>
          <w:bCs/>
        </w:rPr>
      </w:pPr>
      <w:r w:rsidRPr="00515F24">
        <w:rPr>
          <w:rFonts w:ascii="Calibri" w:hAnsi="Calibri" w:cs="Calibri"/>
          <w:b/>
          <w:bCs/>
        </w:rPr>
        <w:lastRenderedPageBreak/>
        <w:t>Slide 9: Data Inventory and Classification</w:t>
      </w:r>
    </w:p>
    <w:p w14:paraId="71FC51F7" w14:textId="53922800"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Effective data inventory and classification are critical. We propose using AI-driven tools to automate classification, ensuring accuracy and regulatory compliance.</w:t>
      </w:r>
    </w:p>
    <w:p w14:paraId="1B3E1A9C" w14:textId="2F92938C" w:rsidR="006D39B6" w:rsidRPr="00515F24" w:rsidRDefault="006D39B6" w:rsidP="006D39B6">
      <w:pPr>
        <w:pStyle w:val="ListParagraph"/>
        <w:numPr>
          <w:ilvl w:val="0"/>
          <w:numId w:val="7"/>
        </w:numPr>
        <w:rPr>
          <w:rFonts w:ascii="Calibri" w:hAnsi="Calibri" w:cs="Calibri"/>
        </w:rPr>
      </w:pPr>
      <w:r w:rsidRPr="00515F24">
        <w:rPr>
          <w:rFonts w:ascii="Calibri" w:hAnsi="Calibri" w:cs="Calibri"/>
        </w:rPr>
        <w:t>Establishing a centralized metadata repository will enhance data management, interoperability, and collaboration across TechnoHealth.</w:t>
      </w:r>
    </w:p>
    <w:p w14:paraId="388F9B21" w14:textId="55B5E89A" w:rsidR="006D39B6" w:rsidRPr="00515F24" w:rsidRDefault="006D39B6" w:rsidP="006D39B6">
      <w:pPr>
        <w:rPr>
          <w:rFonts w:ascii="Calibri" w:hAnsi="Calibri" w:cs="Calibri"/>
          <w:b/>
          <w:bCs/>
        </w:rPr>
      </w:pPr>
      <w:r w:rsidRPr="00515F24">
        <w:rPr>
          <w:rFonts w:ascii="Calibri" w:hAnsi="Calibri" w:cs="Calibri"/>
          <w:b/>
          <w:bCs/>
        </w:rPr>
        <w:t>Slide 10: Data Quality Management</w:t>
      </w:r>
    </w:p>
    <w:p w14:paraId="783F0D43" w14:textId="2D28F7A7"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High data quality is essential in healthcare. We will establish metrics to monitor data accuracy, completeness, consistency, and timeliness.</w:t>
      </w:r>
    </w:p>
    <w:p w14:paraId="06924332" w14:textId="067F6509" w:rsidR="006D39B6" w:rsidRPr="00515F24" w:rsidRDefault="006D39B6" w:rsidP="006D39B6">
      <w:pPr>
        <w:pStyle w:val="ListParagraph"/>
        <w:numPr>
          <w:ilvl w:val="0"/>
          <w:numId w:val="7"/>
        </w:numPr>
        <w:rPr>
          <w:rFonts w:ascii="Calibri" w:hAnsi="Calibri" w:cs="Calibri"/>
        </w:rPr>
      </w:pPr>
      <w:r w:rsidRPr="00515F24">
        <w:rPr>
          <w:rFonts w:ascii="Calibri" w:hAnsi="Calibri" w:cs="Calibri"/>
        </w:rPr>
        <w:t>Automated validation processes will scrutinize incoming data, and a continuous improvement approach will maintain and enhance data quality over time.</w:t>
      </w:r>
    </w:p>
    <w:p w14:paraId="34288CE9" w14:textId="61D0668E" w:rsidR="006D39B6" w:rsidRPr="00515F24" w:rsidRDefault="006D39B6" w:rsidP="006D39B6">
      <w:pPr>
        <w:rPr>
          <w:rFonts w:ascii="Calibri" w:hAnsi="Calibri" w:cs="Calibri"/>
          <w:b/>
          <w:bCs/>
        </w:rPr>
      </w:pPr>
      <w:r w:rsidRPr="00515F24">
        <w:rPr>
          <w:rFonts w:ascii="Calibri" w:hAnsi="Calibri" w:cs="Calibri"/>
          <w:b/>
          <w:bCs/>
        </w:rPr>
        <w:t>Slide 11: Data Security and Privacy</w:t>
      </w:r>
    </w:p>
    <w:p w14:paraId="12B2A5E2" w14:textId="4DFE13C4" w:rsidR="006D39B6" w:rsidRPr="00515F24" w:rsidRDefault="006D39B6" w:rsidP="00515F24">
      <w:pPr>
        <w:pStyle w:val="ListParagraph"/>
        <w:numPr>
          <w:ilvl w:val="0"/>
          <w:numId w:val="7"/>
        </w:numPr>
        <w:rPr>
          <w:rFonts w:ascii="Calibri" w:hAnsi="Calibri" w:cs="Calibri"/>
        </w:rPr>
      </w:pPr>
      <w:r w:rsidRPr="00515F24">
        <w:rPr>
          <w:rFonts w:ascii="Calibri" w:hAnsi="Calibri" w:cs="Calibri"/>
        </w:rPr>
        <w:t>Protecting patient data is paramount. We recommend end-to-end encryption, a Zero Trust security model, and regular security assessments to prevent unauthorized access.</w:t>
      </w:r>
    </w:p>
    <w:p w14:paraId="10E1E25D" w14:textId="2AF1B1B1" w:rsidR="006D39B6" w:rsidRPr="00515F24" w:rsidRDefault="006D39B6" w:rsidP="006D39B6">
      <w:pPr>
        <w:pStyle w:val="ListParagraph"/>
        <w:numPr>
          <w:ilvl w:val="0"/>
          <w:numId w:val="7"/>
        </w:numPr>
        <w:rPr>
          <w:rFonts w:ascii="Calibri" w:hAnsi="Calibri" w:cs="Calibri"/>
        </w:rPr>
      </w:pPr>
      <w:r w:rsidRPr="00515F24">
        <w:rPr>
          <w:rFonts w:ascii="Calibri" w:hAnsi="Calibri" w:cs="Calibri"/>
        </w:rPr>
        <w:t>Advanced anonymization techniques will allow AI model training on patient data while preserving privacy.</w:t>
      </w:r>
    </w:p>
    <w:p w14:paraId="44B5CC9F" w14:textId="41082CAC" w:rsidR="006D39B6" w:rsidRPr="00515F24" w:rsidRDefault="006D39B6" w:rsidP="006D39B6">
      <w:pPr>
        <w:rPr>
          <w:rFonts w:ascii="Calibri" w:hAnsi="Calibri" w:cs="Calibri"/>
          <w:b/>
          <w:bCs/>
        </w:rPr>
      </w:pPr>
      <w:r w:rsidRPr="00515F24">
        <w:rPr>
          <w:rFonts w:ascii="Calibri" w:hAnsi="Calibri" w:cs="Calibri"/>
          <w:b/>
          <w:bCs/>
        </w:rPr>
        <w:t>Slide 12: Regulatory Compliance</w:t>
      </w:r>
    </w:p>
    <w:p w14:paraId="3037EE94" w14:textId="4C1B2155" w:rsidR="00515F24" w:rsidRPr="00515F24" w:rsidRDefault="00515F24" w:rsidP="00515F24">
      <w:pPr>
        <w:pStyle w:val="ListParagraph"/>
        <w:numPr>
          <w:ilvl w:val="0"/>
          <w:numId w:val="5"/>
        </w:numPr>
        <w:rPr>
          <w:rFonts w:ascii="Calibri" w:hAnsi="Calibri" w:cs="Calibri"/>
        </w:rPr>
      </w:pPr>
      <w:r w:rsidRPr="00515F24">
        <w:rPr>
          <w:rFonts w:ascii="Calibri" w:hAnsi="Calibri" w:cs="Calibri"/>
        </w:rPr>
        <w:t>To address this, we propose developing a compliance mapping tool. This tool will map the requirements of HIPAA, GDPR, and other relevant regulations to TechnoHealth’s data processes</w:t>
      </w:r>
      <w:r w:rsidRPr="00515F24">
        <w:rPr>
          <w:rFonts w:ascii="Calibri" w:hAnsi="Calibri" w:cs="Calibri"/>
        </w:rPr>
        <w:t>.</w:t>
      </w:r>
    </w:p>
    <w:p w14:paraId="418C0B29" w14:textId="2FBC980A" w:rsidR="00515F24" w:rsidRPr="00515F24" w:rsidRDefault="00515F24" w:rsidP="00515F24">
      <w:pPr>
        <w:pStyle w:val="ListParagraph"/>
        <w:numPr>
          <w:ilvl w:val="0"/>
          <w:numId w:val="5"/>
        </w:numPr>
        <w:rPr>
          <w:rFonts w:ascii="Calibri" w:hAnsi="Calibri" w:cs="Calibri"/>
          <w:b/>
          <w:bCs/>
        </w:rPr>
      </w:pPr>
      <w:r w:rsidRPr="00515F24">
        <w:rPr>
          <w:rFonts w:ascii="Calibri" w:hAnsi="Calibri" w:cs="Calibri"/>
        </w:rPr>
        <w:t xml:space="preserve"> Automated compliance checks will be embedded within the data processing pipeline. These checks will ensure that any data processed by TechnoHealth is handled in accordance with regulatory requirements</w:t>
      </w:r>
      <w:r w:rsidRPr="00515F24">
        <w:rPr>
          <w:rFonts w:ascii="Calibri" w:hAnsi="Calibri" w:cs="Calibri"/>
        </w:rPr>
        <w:t>.</w:t>
      </w:r>
    </w:p>
    <w:p w14:paraId="38863E0B" w14:textId="51CDA7F8" w:rsidR="006D39B6" w:rsidRPr="00515F24" w:rsidRDefault="006D39B6" w:rsidP="00515F24">
      <w:pPr>
        <w:rPr>
          <w:rFonts w:ascii="Calibri" w:hAnsi="Calibri" w:cs="Calibri"/>
          <w:b/>
          <w:bCs/>
        </w:rPr>
      </w:pPr>
      <w:r w:rsidRPr="00515F24">
        <w:rPr>
          <w:rFonts w:ascii="Calibri" w:hAnsi="Calibri" w:cs="Calibri"/>
          <w:b/>
          <w:bCs/>
        </w:rPr>
        <w:t>Slide 13: Alignment with Standards</w:t>
      </w:r>
    </w:p>
    <w:p w14:paraId="5AFA9FC0" w14:textId="3D0891D7" w:rsidR="00515F24" w:rsidRPr="00515F24" w:rsidRDefault="00515F24" w:rsidP="00515F24">
      <w:pPr>
        <w:pStyle w:val="ListParagraph"/>
        <w:numPr>
          <w:ilvl w:val="0"/>
          <w:numId w:val="30"/>
        </w:numPr>
        <w:rPr>
          <w:rFonts w:ascii="Calibri" w:hAnsi="Calibri" w:cs="Calibri"/>
        </w:rPr>
      </w:pPr>
      <w:r w:rsidRPr="00515F24">
        <w:rPr>
          <w:rFonts w:ascii="Calibri" w:hAnsi="Calibri" w:cs="Calibri"/>
        </w:rPr>
        <w:t xml:space="preserve">The Gartner Data Maturity Model will be used to assess TechnoHealth’s current data governance capabilities. </w:t>
      </w:r>
    </w:p>
    <w:p w14:paraId="5BCF6908" w14:textId="030D6241" w:rsidR="00515F24" w:rsidRPr="00515F24" w:rsidRDefault="00515F24" w:rsidP="00515F24">
      <w:pPr>
        <w:pStyle w:val="ListParagraph"/>
        <w:numPr>
          <w:ilvl w:val="0"/>
          <w:numId w:val="30"/>
        </w:numPr>
        <w:rPr>
          <w:rFonts w:ascii="Calibri" w:hAnsi="Calibri" w:cs="Calibri"/>
        </w:rPr>
      </w:pPr>
      <w:r w:rsidRPr="00515F24">
        <w:rPr>
          <w:rFonts w:ascii="Calibri" w:hAnsi="Calibri" w:cs="Calibri"/>
        </w:rPr>
        <w:t xml:space="preserve">The GDPR and HIPAA regulations will also be central to our assessment. </w:t>
      </w:r>
    </w:p>
    <w:p w14:paraId="559361E2" w14:textId="77777777" w:rsidR="00515F24" w:rsidRPr="00515F24" w:rsidRDefault="00515F24" w:rsidP="00515F24">
      <w:pPr>
        <w:pStyle w:val="ListParagraph"/>
        <w:numPr>
          <w:ilvl w:val="0"/>
          <w:numId w:val="30"/>
        </w:numPr>
        <w:rPr>
          <w:rFonts w:ascii="Calibri" w:hAnsi="Calibri" w:cs="Calibri"/>
          <w:b/>
          <w:bCs/>
        </w:rPr>
      </w:pPr>
      <w:r w:rsidRPr="00515F24">
        <w:rPr>
          <w:rFonts w:ascii="Calibri" w:hAnsi="Calibri" w:cs="Calibri"/>
        </w:rPr>
        <w:t xml:space="preserve">Additionally, the framework will align with the ISO 27001 standard, which offers a comprehensive approach to identifying, managing, and mitigating data security risks. </w:t>
      </w:r>
    </w:p>
    <w:p w14:paraId="0A4DDA24" w14:textId="22B6B03A" w:rsidR="006D39B6" w:rsidRPr="00515F24" w:rsidRDefault="006D39B6" w:rsidP="00515F24">
      <w:pPr>
        <w:rPr>
          <w:rFonts w:ascii="Calibri" w:hAnsi="Calibri" w:cs="Calibri"/>
          <w:b/>
          <w:bCs/>
        </w:rPr>
      </w:pPr>
      <w:r w:rsidRPr="00515F24">
        <w:rPr>
          <w:rFonts w:ascii="Calibri" w:hAnsi="Calibri" w:cs="Calibri"/>
          <w:b/>
          <w:bCs/>
        </w:rPr>
        <w:t>Slide 14: Data Access and Sharing Policies</w:t>
      </w:r>
    </w:p>
    <w:p w14:paraId="67B6581D" w14:textId="3590A19D"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We propose implementing Role-Based Access Control (RBAC) to ensure only authorized users access sensitive data.</w:t>
      </w:r>
    </w:p>
    <w:p w14:paraId="36BACA94" w14:textId="74CA196A" w:rsidR="006D39B6" w:rsidRDefault="006D39B6" w:rsidP="006D39B6">
      <w:pPr>
        <w:pStyle w:val="ListParagraph"/>
        <w:numPr>
          <w:ilvl w:val="0"/>
          <w:numId w:val="5"/>
        </w:numPr>
        <w:rPr>
          <w:rFonts w:ascii="Calibri" w:hAnsi="Calibri" w:cs="Calibri"/>
        </w:rPr>
      </w:pPr>
      <w:r w:rsidRPr="00515F24">
        <w:rPr>
          <w:rFonts w:ascii="Calibri" w:hAnsi="Calibri" w:cs="Calibri"/>
        </w:rPr>
        <w:t>Secure data-sharing protocols and an API governance framework will manage compliant and secure data exchanges, both internally and externally.</w:t>
      </w:r>
    </w:p>
    <w:p w14:paraId="2C27CB0D" w14:textId="77777777" w:rsidR="00515F24" w:rsidRPr="00515F24" w:rsidRDefault="00515F24" w:rsidP="00515F24">
      <w:pPr>
        <w:pStyle w:val="ListParagraph"/>
        <w:rPr>
          <w:rFonts w:ascii="Calibri" w:hAnsi="Calibri" w:cs="Calibri"/>
        </w:rPr>
      </w:pPr>
    </w:p>
    <w:p w14:paraId="36FA5513" w14:textId="32D6CE1F" w:rsidR="006D39B6" w:rsidRPr="00515F24" w:rsidRDefault="006D39B6" w:rsidP="006D39B6">
      <w:pPr>
        <w:rPr>
          <w:rFonts w:ascii="Calibri" w:hAnsi="Calibri" w:cs="Calibri"/>
          <w:b/>
          <w:bCs/>
        </w:rPr>
      </w:pPr>
      <w:r w:rsidRPr="00515F24">
        <w:rPr>
          <w:rFonts w:ascii="Calibri" w:hAnsi="Calibri" w:cs="Calibri"/>
          <w:b/>
          <w:bCs/>
        </w:rPr>
        <w:lastRenderedPageBreak/>
        <w:t>Slide 15: Data Sharing in Practice</w:t>
      </w:r>
    </w:p>
    <w:p w14:paraId="3C9E946B" w14:textId="0BF9D16F"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Data sharing is critical for TechnoHealth’s research collaborations and clinical trials. Secure protocols will ensure data integrity and compliance with regulatory requirements during sharing.</w:t>
      </w:r>
    </w:p>
    <w:p w14:paraId="52A58C12" w14:textId="372B211A" w:rsidR="006D39B6" w:rsidRPr="00515F24" w:rsidRDefault="006D39B6" w:rsidP="006D39B6">
      <w:pPr>
        <w:pStyle w:val="ListParagraph"/>
        <w:numPr>
          <w:ilvl w:val="0"/>
          <w:numId w:val="5"/>
        </w:numPr>
        <w:rPr>
          <w:rFonts w:ascii="Calibri" w:hAnsi="Calibri" w:cs="Calibri"/>
        </w:rPr>
      </w:pPr>
      <w:r w:rsidRPr="00515F24">
        <w:rPr>
          <w:rFonts w:ascii="Calibri" w:hAnsi="Calibri" w:cs="Calibri"/>
        </w:rPr>
        <w:t>Cross-border data sharing will be managed through secure mechanisms, ensuring compliance with local laws like GDPR while enabling seamless data exchange.</w:t>
      </w:r>
    </w:p>
    <w:p w14:paraId="33FB6023" w14:textId="2BB4E525" w:rsidR="006D39B6" w:rsidRPr="00515F24" w:rsidRDefault="006D39B6" w:rsidP="006D39B6">
      <w:pPr>
        <w:rPr>
          <w:rFonts w:ascii="Calibri" w:hAnsi="Calibri" w:cs="Calibri"/>
          <w:b/>
          <w:bCs/>
        </w:rPr>
      </w:pPr>
      <w:r w:rsidRPr="00515F24">
        <w:rPr>
          <w:rFonts w:ascii="Calibri" w:hAnsi="Calibri" w:cs="Calibri"/>
          <w:b/>
          <w:bCs/>
        </w:rPr>
        <w:t>Slide 16: Data Sharing Challenges and Mitigation Strategies</w:t>
      </w:r>
    </w:p>
    <w:p w14:paraId="4DA3F123" w14:textId="426F10D9"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Data sovereignty, integrity, and access control are challenges in data sharing. We propose using region-specific storage, encryption, and RBAC with Multi-Factor Authentication to address these challenges.</w:t>
      </w:r>
    </w:p>
    <w:p w14:paraId="25669E10" w14:textId="37571694"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Compliance with varying regulations and preventing re-identification of anonymized data will be managed through a compliance mapping tool and differential privacy techniques.</w:t>
      </w:r>
    </w:p>
    <w:p w14:paraId="3317024D" w14:textId="44496485" w:rsidR="006D39B6" w:rsidRPr="00515F24" w:rsidRDefault="006D39B6" w:rsidP="006D39B6">
      <w:pPr>
        <w:rPr>
          <w:rFonts w:ascii="Calibri" w:hAnsi="Calibri" w:cs="Calibri"/>
          <w:b/>
          <w:bCs/>
        </w:rPr>
      </w:pPr>
      <w:r w:rsidRPr="00515F24">
        <w:rPr>
          <w:rFonts w:ascii="Calibri" w:hAnsi="Calibri" w:cs="Calibri"/>
          <w:b/>
          <w:bCs/>
        </w:rPr>
        <w:t>Slide 17: Data Lifecycle Management</w:t>
      </w:r>
    </w:p>
    <w:p w14:paraId="14C0132D" w14:textId="302F4F77"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Intelligent retention policies and automated archiving and purging processes will ensure data compliance and efficient lifecycle management.</w:t>
      </w:r>
    </w:p>
    <w:p w14:paraId="27AC589A" w14:textId="36701EF7"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Data lineage tracking will provide transparency and accountability throughout the data’s lifecycle.</w:t>
      </w:r>
    </w:p>
    <w:p w14:paraId="5353D3DE" w14:textId="44BA1BC6" w:rsidR="006D39B6" w:rsidRPr="00515F24" w:rsidRDefault="006D39B6" w:rsidP="006D39B6">
      <w:pPr>
        <w:rPr>
          <w:rFonts w:ascii="Calibri" w:hAnsi="Calibri" w:cs="Calibri"/>
          <w:b/>
          <w:bCs/>
        </w:rPr>
      </w:pPr>
      <w:r w:rsidRPr="00515F24">
        <w:rPr>
          <w:rFonts w:ascii="Calibri" w:hAnsi="Calibri" w:cs="Calibri"/>
          <w:b/>
          <w:bCs/>
        </w:rPr>
        <w:t>Slide 18: Proposed Engagement Scope and Objectives</w:t>
      </w:r>
    </w:p>
    <w:p w14:paraId="51F3DF1D" w14:textId="219C1A14"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Our scope includes defining a target operating model for data governance, conducting a baseline review, identifying gaps, and developing a remediation roadmap.</w:t>
      </w:r>
    </w:p>
    <w:p w14:paraId="425C5BA0" w14:textId="60196C24" w:rsidR="006D39B6" w:rsidRPr="00515F24" w:rsidRDefault="006D39B6" w:rsidP="006D39B6">
      <w:pPr>
        <w:pStyle w:val="ListParagraph"/>
        <w:numPr>
          <w:ilvl w:val="0"/>
          <w:numId w:val="5"/>
        </w:numPr>
        <w:rPr>
          <w:rFonts w:ascii="Calibri" w:hAnsi="Calibri" w:cs="Calibri"/>
        </w:rPr>
      </w:pPr>
      <w:r w:rsidRPr="00515F24">
        <w:rPr>
          <w:rFonts w:ascii="Calibri" w:hAnsi="Calibri" w:cs="Calibri"/>
        </w:rPr>
        <w:t>We will align the action plan with TechnoHealth’s delivery teams to ensure effective implementation.</w:t>
      </w:r>
    </w:p>
    <w:p w14:paraId="01986DCC" w14:textId="77777777" w:rsidR="006D39B6" w:rsidRPr="006D39B6" w:rsidRDefault="006D39B6" w:rsidP="006D39B6">
      <w:pPr>
        <w:rPr>
          <w:rFonts w:ascii="Calibri" w:hAnsi="Calibri" w:cs="Calibri"/>
        </w:rPr>
      </w:pPr>
      <w:r w:rsidRPr="006D39B6">
        <w:rPr>
          <w:rFonts w:ascii="Calibri" w:hAnsi="Calibri" w:cs="Calibri"/>
          <w:b/>
          <w:bCs/>
        </w:rPr>
        <w:t>Slide 19: Data Governance Framework – Target State</w:t>
      </w:r>
    </w:p>
    <w:p w14:paraId="4FB8EA46" w14:textId="77777777" w:rsidR="006D39B6" w:rsidRPr="006D39B6" w:rsidRDefault="006D39B6" w:rsidP="00515F24">
      <w:pPr>
        <w:numPr>
          <w:ilvl w:val="0"/>
          <w:numId w:val="26"/>
        </w:numPr>
        <w:rPr>
          <w:rFonts w:ascii="Calibri" w:hAnsi="Calibri" w:cs="Calibri"/>
        </w:rPr>
      </w:pPr>
      <w:r w:rsidRPr="006D39B6">
        <w:rPr>
          <w:rFonts w:ascii="Calibri" w:hAnsi="Calibri" w:cs="Calibri"/>
        </w:rPr>
        <w:t>The target state of our data governance framework focuses on several key areas. First, we will strengthen collaborative governance, ensuring trusted and accountable data sharing across the organization.</w:t>
      </w:r>
    </w:p>
    <w:p w14:paraId="04005DFF" w14:textId="77777777" w:rsidR="006D39B6" w:rsidRPr="006D39B6" w:rsidRDefault="006D39B6" w:rsidP="00515F24">
      <w:pPr>
        <w:numPr>
          <w:ilvl w:val="0"/>
          <w:numId w:val="26"/>
        </w:numPr>
        <w:rPr>
          <w:rFonts w:ascii="Calibri" w:hAnsi="Calibri" w:cs="Calibri"/>
        </w:rPr>
      </w:pPr>
      <w:r w:rsidRPr="006D39B6">
        <w:rPr>
          <w:rFonts w:ascii="Calibri" w:hAnsi="Calibri" w:cs="Calibri"/>
        </w:rPr>
        <w:t>Next, we will develop secure sharing protocols that comply with federal policies and ensure that data is shared securely and in compliance with relevant regulations.</w:t>
      </w:r>
    </w:p>
    <w:p w14:paraId="1D22A10F" w14:textId="77777777" w:rsidR="006D39B6" w:rsidRPr="006D39B6" w:rsidRDefault="006D39B6" w:rsidP="00515F24">
      <w:pPr>
        <w:numPr>
          <w:ilvl w:val="0"/>
          <w:numId w:val="26"/>
        </w:numPr>
        <w:rPr>
          <w:rFonts w:ascii="Calibri" w:hAnsi="Calibri" w:cs="Calibri"/>
        </w:rPr>
      </w:pPr>
      <w:r w:rsidRPr="006D39B6">
        <w:rPr>
          <w:rFonts w:ascii="Calibri" w:hAnsi="Calibri" w:cs="Calibri"/>
        </w:rPr>
        <w:t>We will also foster a distributed workforce by supporting a federated data-centric workforce, enabling TechnoHealth employees to access and use data effectively while maintaining security and compliance.</w:t>
      </w:r>
    </w:p>
    <w:p w14:paraId="71A4F7CD" w14:textId="6198A980" w:rsidR="006D39B6" w:rsidRPr="00515F24" w:rsidRDefault="006D39B6" w:rsidP="00515F24">
      <w:pPr>
        <w:numPr>
          <w:ilvl w:val="0"/>
          <w:numId w:val="26"/>
        </w:numPr>
        <w:rPr>
          <w:rFonts w:ascii="Calibri" w:hAnsi="Calibri" w:cs="Calibri"/>
        </w:rPr>
      </w:pPr>
      <w:r w:rsidRPr="006D39B6">
        <w:rPr>
          <w:rFonts w:ascii="Calibri" w:hAnsi="Calibri" w:cs="Calibri"/>
        </w:rPr>
        <w:t>Finally, we will enable self-service data access by creating a discoverable registry that allows authorized users to access data securely and efficiently.</w:t>
      </w:r>
    </w:p>
    <w:p w14:paraId="0795AE01" w14:textId="77777777" w:rsidR="006D39B6" w:rsidRPr="006D39B6" w:rsidRDefault="006D39B6" w:rsidP="006D39B6">
      <w:pPr>
        <w:rPr>
          <w:rFonts w:ascii="Calibri" w:hAnsi="Calibri" w:cs="Calibri"/>
        </w:rPr>
      </w:pPr>
      <w:r w:rsidRPr="006D39B6">
        <w:rPr>
          <w:rFonts w:ascii="Calibri" w:hAnsi="Calibri" w:cs="Calibri"/>
          <w:b/>
          <w:bCs/>
        </w:rPr>
        <w:lastRenderedPageBreak/>
        <w:t>Slide 20: What We Can Help Deliver</w:t>
      </w:r>
    </w:p>
    <w:p w14:paraId="14410D12" w14:textId="77777777" w:rsidR="006D39B6" w:rsidRPr="006D39B6" w:rsidRDefault="006D39B6" w:rsidP="00515F24">
      <w:pPr>
        <w:numPr>
          <w:ilvl w:val="0"/>
          <w:numId w:val="25"/>
        </w:numPr>
        <w:rPr>
          <w:rFonts w:ascii="Calibri" w:hAnsi="Calibri" w:cs="Calibri"/>
        </w:rPr>
      </w:pPr>
      <w:r w:rsidRPr="006D39B6">
        <w:rPr>
          <w:rFonts w:ascii="Calibri" w:hAnsi="Calibri" w:cs="Calibri"/>
        </w:rPr>
        <w:t>Our proposed framework will deliver several key outcomes. First, we will establish a centralized data repository that serves as a single source of truth for managing TechnoHealth’s data assets.</w:t>
      </w:r>
    </w:p>
    <w:p w14:paraId="1E9F2191" w14:textId="77777777" w:rsidR="006D39B6" w:rsidRPr="006D39B6" w:rsidRDefault="006D39B6" w:rsidP="00515F24">
      <w:pPr>
        <w:numPr>
          <w:ilvl w:val="0"/>
          <w:numId w:val="25"/>
        </w:numPr>
        <w:rPr>
          <w:rFonts w:ascii="Calibri" w:hAnsi="Calibri" w:cs="Calibri"/>
        </w:rPr>
      </w:pPr>
      <w:r w:rsidRPr="006D39B6">
        <w:rPr>
          <w:rFonts w:ascii="Calibri" w:hAnsi="Calibri" w:cs="Calibri"/>
        </w:rPr>
        <w:t>We will also provide training programs to enhance data literacy across the organization, ensuring that all employees understand how to use and manage data effectively.</w:t>
      </w:r>
    </w:p>
    <w:p w14:paraId="59D769BA" w14:textId="77777777" w:rsidR="006D39B6" w:rsidRPr="006D39B6" w:rsidRDefault="006D39B6" w:rsidP="00515F24">
      <w:pPr>
        <w:numPr>
          <w:ilvl w:val="0"/>
          <w:numId w:val="25"/>
        </w:numPr>
        <w:rPr>
          <w:rFonts w:ascii="Calibri" w:hAnsi="Calibri" w:cs="Calibri"/>
        </w:rPr>
      </w:pPr>
      <w:r w:rsidRPr="006D39B6">
        <w:rPr>
          <w:rFonts w:ascii="Calibri" w:hAnsi="Calibri" w:cs="Calibri"/>
        </w:rPr>
        <w:t>User roles will be aligned with business needs, ensuring that data access is granted based on the specific requirements of each role. This will enhance security and ensure that data is used appropriately.</w:t>
      </w:r>
    </w:p>
    <w:p w14:paraId="4CCAFCAB" w14:textId="65A68FC1" w:rsidR="006D39B6" w:rsidRPr="00515F24" w:rsidRDefault="006D39B6" w:rsidP="00515F24">
      <w:pPr>
        <w:numPr>
          <w:ilvl w:val="0"/>
          <w:numId w:val="25"/>
        </w:numPr>
        <w:rPr>
          <w:rFonts w:ascii="Calibri" w:hAnsi="Calibri" w:cs="Calibri"/>
        </w:rPr>
      </w:pPr>
      <w:r w:rsidRPr="006D39B6">
        <w:rPr>
          <w:rFonts w:ascii="Calibri" w:hAnsi="Calibri" w:cs="Calibri"/>
        </w:rPr>
        <w:t>In the long term, TechnoHealth will benefit from on-demand analytics tailored to specific user roles, enabling more efficient decision-making and better use of data resources.</w:t>
      </w:r>
    </w:p>
    <w:p w14:paraId="7395CA9A" w14:textId="77777777" w:rsidR="006D39B6" w:rsidRPr="006D39B6" w:rsidRDefault="006D39B6" w:rsidP="006D39B6">
      <w:pPr>
        <w:rPr>
          <w:rFonts w:ascii="Calibri" w:hAnsi="Calibri" w:cs="Calibri"/>
        </w:rPr>
      </w:pPr>
      <w:r w:rsidRPr="006D39B6">
        <w:rPr>
          <w:rFonts w:ascii="Calibri" w:hAnsi="Calibri" w:cs="Calibri"/>
          <w:b/>
          <w:bCs/>
        </w:rPr>
        <w:t>Slide 21: Implementation Plan</w:t>
      </w:r>
    </w:p>
    <w:p w14:paraId="548A7180" w14:textId="77777777" w:rsidR="006D39B6" w:rsidRPr="006D39B6" w:rsidRDefault="006D39B6" w:rsidP="00515F24">
      <w:pPr>
        <w:numPr>
          <w:ilvl w:val="0"/>
          <w:numId w:val="24"/>
        </w:numPr>
        <w:rPr>
          <w:rFonts w:ascii="Calibri" w:hAnsi="Calibri" w:cs="Calibri"/>
        </w:rPr>
      </w:pPr>
      <w:r w:rsidRPr="006D39B6">
        <w:rPr>
          <w:rFonts w:ascii="Calibri" w:hAnsi="Calibri" w:cs="Calibri"/>
        </w:rPr>
        <w:t>Our implementation plan will unfold in three phases: Alignment, Assessment, and Build.</w:t>
      </w:r>
    </w:p>
    <w:p w14:paraId="5E312991" w14:textId="77777777" w:rsidR="006D39B6" w:rsidRPr="006D39B6" w:rsidRDefault="006D39B6" w:rsidP="00515F24">
      <w:pPr>
        <w:numPr>
          <w:ilvl w:val="0"/>
          <w:numId w:val="24"/>
        </w:numPr>
        <w:rPr>
          <w:rFonts w:ascii="Calibri" w:hAnsi="Calibri" w:cs="Calibri"/>
        </w:rPr>
      </w:pPr>
      <w:r w:rsidRPr="006D39B6">
        <w:rPr>
          <w:rFonts w:ascii="Calibri" w:hAnsi="Calibri" w:cs="Calibri"/>
        </w:rPr>
        <w:t>In the Alignment phase, we will work closely with TechnoHealth’s Risk, Compliance, and Legal teams to ensure that the data governance framework aligns with the company’s broader risk management and compliance strategies.</w:t>
      </w:r>
    </w:p>
    <w:p w14:paraId="1F14995D" w14:textId="77777777" w:rsidR="006D39B6" w:rsidRPr="006D39B6" w:rsidRDefault="006D39B6" w:rsidP="00515F24">
      <w:pPr>
        <w:numPr>
          <w:ilvl w:val="0"/>
          <w:numId w:val="24"/>
        </w:numPr>
        <w:rPr>
          <w:rFonts w:ascii="Calibri" w:hAnsi="Calibri" w:cs="Calibri"/>
        </w:rPr>
      </w:pPr>
      <w:r w:rsidRPr="006D39B6">
        <w:rPr>
          <w:rFonts w:ascii="Calibri" w:hAnsi="Calibri" w:cs="Calibri"/>
        </w:rPr>
        <w:t>During the Assessment phase, we will conduct a baseline review of existing data governance practices, perform a gap analysis, and hold stakeholder workshops to address identified gaps. This phase will culminate in the development of a final action plan that aligns with TechnoHealth’s delivery teams.</w:t>
      </w:r>
    </w:p>
    <w:p w14:paraId="744C37A9" w14:textId="77777777" w:rsidR="006D39B6" w:rsidRPr="006D39B6" w:rsidRDefault="006D39B6" w:rsidP="00515F24">
      <w:pPr>
        <w:numPr>
          <w:ilvl w:val="0"/>
          <w:numId w:val="24"/>
        </w:numPr>
        <w:rPr>
          <w:rFonts w:ascii="Calibri" w:hAnsi="Calibri" w:cs="Calibri"/>
        </w:rPr>
      </w:pPr>
      <w:r w:rsidRPr="006D39B6">
        <w:rPr>
          <w:rFonts w:ascii="Calibri" w:hAnsi="Calibri" w:cs="Calibri"/>
        </w:rPr>
        <w:t>The Build phase will involve consolidating information into a centralized database, decommissioning redundant servers and datasets, finalizing the configuration of the centralized database, and conducting system integration tests to ensure smooth data flow.</w:t>
      </w:r>
    </w:p>
    <w:p w14:paraId="11A1547F" w14:textId="1C071977" w:rsidR="006D39B6" w:rsidRDefault="006D39B6" w:rsidP="00515F24">
      <w:pPr>
        <w:numPr>
          <w:ilvl w:val="0"/>
          <w:numId w:val="24"/>
        </w:numPr>
        <w:rPr>
          <w:rFonts w:ascii="Calibri" w:hAnsi="Calibri" w:cs="Calibri"/>
        </w:rPr>
      </w:pPr>
      <w:r w:rsidRPr="006D39B6">
        <w:rPr>
          <w:rFonts w:ascii="Calibri" w:hAnsi="Calibri" w:cs="Calibri"/>
        </w:rPr>
        <w:t>Finally, we will roll out secure database access for all user groups, provide advanced training for high-risk data handlers, and complete the full-scale rollout of secure access controls. We will also ensure that ongoing monitoring mechanisms are in place to maintain the effectiveness of the data governance framework.</w:t>
      </w:r>
    </w:p>
    <w:p w14:paraId="764871EA" w14:textId="77777777" w:rsidR="00515F24" w:rsidRDefault="00515F24" w:rsidP="00515F24">
      <w:pPr>
        <w:rPr>
          <w:rFonts w:ascii="Calibri" w:hAnsi="Calibri" w:cs="Calibri"/>
        </w:rPr>
      </w:pPr>
    </w:p>
    <w:p w14:paraId="4661DABF" w14:textId="77777777" w:rsidR="00515F24" w:rsidRDefault="00515F24" w:rsidP="00515F24">
      <w:pPr>
        <w:rPr>
          <w:rFonts w:ascii="Calibri" w:hAnsi="Calibri" w:cs="Calibri"/>
        </w:rPr>
      </w:pPr>
    </w:p>
    <w:p w14:paraId="45B7DAB4" w14:textId="77777777" w:rsidR="00515F24" w:rsidRPr="00515F24" w:rsidRDefault="00515F24" w:rsidP="00515F24">
      <w:pPr>
        <w:rPr>
          <w:rFonts w:ascii="Calibri" w:hAnsi="Calibri" w:cs="Calibri"/>
        </w:rPr>
      </w:pPr>
    </w:p>
    <w:p w14:paraId="6969D7E3" w14:textId="77777777" w:rsidR="006D39B6" w:rsidRPr="006D39B6" w:rsidRDefault="006D39B6" w:rsidP="006D39B6">
      <w:pPr>
        <w:rPr>
          <w:rFonts w:ascii="Calibri" w:hAnsi="Calibri" w:cs="Calibri"/>
        </w:rPr>
      </w:pPr>
      <w:r w:rsidRPr="006D39B6">
        <w:rPr>
          <w:rFonts w:ascii="Calibri" w:hAnsi="Calibri" w:cs="Calibri"/>
          <w:b/>
          <w:bCs/>
        </w:rPr>
        <w:lastRenderedPageBreak/>
        <w:t>Slide 22: Measuring Success</w:t>
      </w:r>
    </w:p>
    <w:p w14:paraId="1C8C1149" w14:textId="77777777" w:rsidR="006D39B6" w:rsidRPr="006D39B6" w:rsidRDefault="006D39B6" w:rsidP="00515F24">
      <w:pPr>
        <w:numPr>
          <w:ilvl w:val="0"/>
          <w:numId w:val="23"/>
        </w:numPr>
        <w:rPr>
          <w:rFonts w:ascii="Calibri" w:hAnsi="Calibri" w:cs="Calibri"/>
        </w:rPr>
      </w:pPr>
      <w:r w:rsidRPr="006D39B6">
        <w:rPr>
          <w:rFonts w:ascii="Calibri" w:hAnsi="Calibri" w:cs="Calibri"/>
        </w:rPr>
        <w:t>Success will be measured using several key metrics. First, we will look for an uplift in data usage, which will indicate that legitimate users are empowered to access and use data more effectively.</w:t>
      </w:r>
    </w:p>
    <w:p w14:paraId="447FCDA0" w14:textId="77777777" w:rsidR="006D39B6" w:rsidRPr="006D39B6" w:rsidRDefault="006D39B6" w:rsidP="00515F24">
      <w:pPr>
        <w:numPr>
          <w:ilvl w:val="0"/>
          <w:numId w:val="23"/>
        </w:numPr>
        <w:rPr>
          <w:rFonts w:ascii="Calibri" w:hAnsi="Calibri" w:cs="Calibri"/>
        </w:rPr>
      </w:pPr>
      <w:r w:rsidRPr="006D39B6">
        <w:rPr>
          <w:rFonts w:ascii="Calibri" w:hAnsi="Calibri" w:cs="Calibri"/>
        </w:rPr>
        <w:t>We will also track the reduction of security incidents, with a significant drop in breaches serving as a clear indicator of the framework’s effectiveness.</w:t>
      </w:r>
    </w:p>
    <w:p w14:paraId="76003E20" w14:textId="77777777" w:rsidR="006D39B6" w:rsidRPr="006D39B6" w:rsidRDefault="006D39B6" w:rsidP="00515F24">
      <w:pPr>
        <w:numPr>
          <w:ilvl w:val="0"/>
          <w:numId w:val="23"/>
        </w:numPr>
        <w:rPr>
          <w:rFonts w:ascii="Calibri" w:hAnsi="Calibri" w:cs="Calibri"/>
        </w:rPr>
      </w:pPr>
      <w:r w:rsidRPr="006D39B6">
        <w:rPr>
          <w:rFonts w:ascii="Calibri" w:hAnsi="Calibri" w:cs="Calibri"/>
        </w:rPr>
        <w:t>Strengthened adherence to standards will be another key metric, with fewer exception requests signaling that the framework is helping TechnoHealth meet regulatory requirements more consistently.</w:t>
      </w:r>
    </w:p>
    <w:p w14:paraId="4D93A96C" w14:textId="324074CD" w:rsidR="006D39B6" w:rsidRPr="00515F24" w:rsidRDefault="006D39B6" w:rsidP="00515F24">
      <w:pPr>
        <w:numPr>
          <w:ilvl w:val="0"/>
          <w:numId w:val="23"/>
        </w:numPr>
        <w:rPr>
          <w:rFonts w:ascii="Calibri" w:hAnsi="Calibri" w:cs="Calibri"/>
        </w:rPr>
      </w:pPr>
      <w:r w:rsidRPr="006D39B6">
        <w:rPr>
          <w:rFonts w:ascii="Calibri" w:hAnsi="Calibri" w:cs="Calibri"/>
        </w:rPr>
        <w:t>Finally, we will measure improvements in data quality by tracking the reduction of data quality incidents. This will ensure that TechnoHealth’s data remains accurate, complete, and reliable.</w:t>
      </w:r>
    </w:p>
    <w:p w14:paraId="34D77CFC" w14:textId="4E74399B" w:rsidR="006D39B6" w:rsidRPr="00515F24" w:rsidRDefault="006D39B6" w:rsidP="006D39B6">
      <w:pPr>
        <w:rPr>
          <w:rFonts w:ascii="Calibri" w:hAnsi="Calibri" w:cs="Calibri"/>
          <w:b/>
          <w:bCs/>
        </w:rPr>
      </w:pPr>
      <w:r w:rsidRPr="00515F24">
        <w:rPr>
          <w:rFonts w:ascii="Calibri" w:hAnsi="Calibri" w:cs="Calibri"/>
          <w:b/>
          <w:bCs/>
        </w:rPr>
        <w:t>Slide 23: Long-Term Benefits</w:t>
      </w:r>
    </w:p>
    <w:p w14:paraId="65DBCECE" w14:textId="4F4D0AC3" w:rsidR="00515F24" w:rsidRPr="00515F24" w:rsidRDefault="00515F24" w:rsidP="00DB2614">
      <w:pPr>
        <w:pStyle w:val="ListParagraph"/>
        <w:numPr>
          <w:ilvl w:val="0"/>
          <w:numId w:val="31"/>
        </w:numPr>
        <w:rPr>
          <w:rFonts w:ascii="Calibri" w:hAnsi="Calibri" w:cs="Calibri"/>
        </w:rPr>
      </w:pPr>
      <w:r w:rsidRPr="00515F24">
        <w:rPr>
          <w:rFonts w:ascii="Calibri" w:hAnsi="Calibri" w:cs="Calibri"/>
        </w:rPr>
        <w:t xml:space="preserve">The framework is designed to </w:t>
      </w:r>
      <w:r w:rsidRPr="00515F24">
        <w:rPr>
          <w:rFonts w:ascii="Calibri" w:hAnsi="Calibri" w:cs="Calibri"/>
        </w:rPr>
        <w:t>scale</w:t>
      </w:r>
      <w:r w:rsidRPr="00515F24">
        <w:rPr>
          <w:rFonts w:ascii="Calibri" w:hAnsi="Calibri" w:cs="Calibri"/>
        </w:rPr>
        <w:t xml:space="preserve"> TechnoHealth’s growth, adapting to future challenges and opportunities. This scalability will ensure that the company can continue to manage its data effectively as it expands.</w:t>
      </w:r>
    </w:p>
    <w:p w14:paraId="3C999053" w14:textId="0896A8BD" w:rsidR="00515F24" w:rsidRPr="00515F24" w:rsidRDefault="00515F24" w:rsidP="00DB2614">
      <w:pPr>
        <w:pStyle w:val="ListParagraph"/>
        <w:numPr>
          <w:ilvl w:val="0"/>
          <w:numId w:val="31"/>
        </w:numPr>
        <w:rPr>
          <w:rFonts w:ascii="Calibri" w:hAnsi="Calibri" w:cs="Calibri"/>
        </w:rPr>
      </w:pPr>
      <w:r w:rsidRPr="00515F24">
        <w:rPr>
          <w:rFonts w:ascii="Calibri" w:hAnsi="Calibri" w:cs="Calibri"/>
        </w:rPr>
        <w:t>A robust data governance framework also reduces compliance costs, optimizes resources, and enhances customer trust, providing a solid return on investment (ROI).</w:t>
      </w:r>
    </w:p>
    <w:p w14:paraId="77D5F8D8" w14:textId="2A59C554" w:rsidR="00515F24" w:rsidRPr="00515F24" w:rsidRDefault="00515F24" w:rsidP="00DB2614">
      <w:pPr>
        <w:pStyle w:val="ListParagraph"/>
        <w:numPr>
          <w:ilvl w:val="0"/>
          <w:numId w:val="31"/>
        </w:numPr>
        <w:rPr>
          <w:rFonts w:ascii="Calibri" w:hAnsi="Calibri" w:cs="Calibri"/>
          <w:b/>
          <w:bCs/>
        </w:rPr>
      </w:pPr>
      <w:r w:rsidRPr="00515F24">
        <w:rPr>
          <w:rFonts w:ascii="Calibri" w:hAnsi="Calibri" w:cs="Calibri"/>
        </w:rPr>
        <w:t xml:space="preserve">Finally, streamlined processes and automated workflows will improve operational efficiency, enabling faster decision-making and reducing overhead costs. </w:t>
      </w:r>
    </w:p>
    <w:p w14:paraId="4BFB69AF" w14:textId="77777777" w:rsidR="00515F24" w:rsidRPr="00515F24" w:rsidRDefault="00515F24" w:rsidP="00515F24">
      <w:pPr>
        <w:rPr>
          <w:rFonts w:ascii="Calibri" w:hAnsi="Calibri" w:cs="Calibri"/>
          <w:b/>
          <w:bCs/>
        </w:rPr>
      </w:pPr>
    </w:p>
    <w:p w14:paraId="2C663BA4" w14:textId="66B86B5B" w:rsidR="006D39B6" w:rsidRPr="00515F24" w:rsidRDefault="006D39B6" w:rsidP="00515F24">
      <w:pPr>
        <w:rPr>
          <w:rFonts w:ascii="Calibri" w:hAnsi="Calibri" w:cs="Calibri"/>
          <w:b/>
          <w:bCs/>
        </w:rPr>
      </w:pPr>
      <w:r w:rsidRPr="00515F24">
        <w:rPr>
          <w:rFonts w:ascii="Calibri" w:hAnsi="Calibri" w:cs="Calibri"/>
          <w:b/>
          <w:bCs/>
        </w:rPr>
        <w:t>Slide 24: Conclusion</w:t>
      </w:r>
    </w:p>
    <w:p w14:paraId="690AD2F9" w14:textId="63D38C4B"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In conclusion, we’ve outlined a comprehensive data governance framework tailored for TechnoHealth Solutions. This framework is critical for regulatory compliance, operational efficiency, and patient data integrity.</w:t>
      </w:r>
    </w:p>
    <w:p w14:paraId="5F4C96D6" w14:textId="726E011D"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Beyond compliance, it empowers TechnoHealth to drive innovation and strengthen its competitive edge in the healthcare sector.</w:t>
      </w:r>
    </w:p>
    <w:p w14:paraId="18437DAA" w14:textId="0EFADD7D" w:rsidR="006D39B6" w:rsidRPr="00515F24" w:rsidRDefault="006D39B6" w:rsidP="00515F24">
      <w:pPr>
        <w:pStyle w:val="ListParagraph"/>
        <w:numPr>
          <w:ilvl w:val="0"/>
          <w:numId w:val="5"/>
        </w:numPr>
        <w:rPr>
          <w:rFonts w:ascii="Calibri" w:hAnsi="Calibri" w:cs="Calibri"/>
        </w:rPr>
      </w:pPr>
      <w:r w:rsidRPr="00515F24">
        <w:rPr>
          <w:rFonts w:ascii="Calibri" w:hAnsi="Calibri" w:cs="Calibri"/>
        </w:rPr>
        <w:t>Let’s move forward with a commitment to building a robust data governance framework that meets today’s needs and prepares TechnoHealth for future challenges.</w:t>
      </w:r>
    </w:p>
    <w:p w14:paraId="7038A824" w14:textId="77777777" w:rsidR="006D39B6" w:rsidRPr="00515F24" w:rsidRDefault="006D39B6" w:rsidP="006D39B6">
      <w:pPr>
        <w:rPr>
          <w:rFonts w:ascii="Calibri" w:hAnsi="Calibri" w:cs="Calibri"/>
        </w:rPr>
      </w:pPr>
    </w:p>
    <w:p w14:paraId="48974E8F" w14:textId="2083D8CC" w:rsidR="006D39B6" w:rsidRPr="00DB2614" w:rsidRDefault="006D39B6" w:rsidP="006D39B6">
      <w:pPr>
        <w:rPr>
          <w:rFonts w:ascii="Calibri" w:hAnsi="Calibri" w:cs="Calibri"/>
          <w:b/>
          <w:bCs/>
        </w:rPr>
      </w:pPr>
      <w:r w:rsidRPr="00DB2614">
        <w:rPr>
          <w:rFonts w:ascii="Calibri" w:hAnsi="Calibri" w:cs="Calibri"/>
          <w:b/>
          <w:bCs/>
        </w:rPr>
        <w:t>Slide 25: Thank You</w:t>
      </w:r>
    </w:p>
    <w:p w14:paraId="6FADA9ED" w14:textId="5AB28A7E" w:rsidR="006D39B6" w:rsidRPr="00515F24" w:rsidRDefault="006D39B6" w:rsidP="006D39B6">
      <w:pPr>
        <w:rPr>
          <w:rFonts w:ascii="Calibri" w:hAnsi="Calibri" w:cs="Calibri"/>
        </w:rPr>
      </w:pPr>
      <w:r w:rsidRPr="00515F24">
        <w:rPr>
          <w:rFonts w:ascii="Calibri" w:hAnsi="Calibri" w:cs="Calibri"/>
        </w:rPr>
        <w:t xml:space="preserve">- Thank you for your time. </w:t>
      </w:r>
    </w:p>
    <w:p w14:paraId="745CCB1A" w14:textId="77777777" w:rsidR="006D39B6" w:rsidRPr="00515F24" w:rsidRDefault="006D39B6" w:rsidP="006D39B6">
      <w:pPr>
        <w:rPr>
          <w:rFonts w:ascii="Calibri" w:hAnsi="Calibri" w:cs="Calibri"/>
        </w:rPr>
      </w:pPr>
    </w:p>
    <w:sectPr w:rsidR="006D39B6" w:rsidRPr="00515F24" w:rsidSect="0060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4B0"/>
    <w:multiLevelType w:val="multilevel"/>
    <w:tmpl w:val="B2D638DC"/>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920EF"/>
    <w:multiLevelType w:val="hybridMultilevel"/>
    <w:tmpl w:val="691238FE"/>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74653"/>
    <w:multiLevelType w:val="hybridMultilevel"/>
    <w:tmpl w:val="C82E19FA"/>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6158A"/>
    <w:multiLevelType w:val="multilevel"/>
    <w:tmpl w:val="093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672D4"/>
    <w:multiLevelType w:val="hybridMultilevel"/>
    <w:tmpl w:val="192E5B98"/>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731C7"/>
    <w:multiLevelType w:val="multilevel"/>
    <w:tmpl w:val="9EEC665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8036D"/>
    <w:multiLevelType w:val="multilevel"/>
    <w:tmpl w:val="575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E7CD2"/>
    <w:multiLevelType w:val="hybridMultilevel"/>
    <w:tmpl w:val="B31A99E8"/>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D500A"/>
    <w:multiLevelType w:val="hybridMultilevel"/>
    <w:tmpl w:val="A9E443F6"/>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D6DE3"/>
    <w:multiLevelType w:val="multilevel"/>
    <w:tmpl w:val="F28A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96182"/>
    <w:multiLevelType w:val="hybridMultilevel"/>
    <w:tmpl w:val="0F1E6414"/>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144E2"/>
    <w:multiLevelType w:val="hybridMultilevel"/>
    <w:tmpl w:val="B412A6E0"/>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C761F"/>
    <w:multiLevelType w:val="multilevel"/>
    <w:tmpl w:val="B25296C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41C82"/>
    <w:multiLevelType w:val="hybridMultilevel"/>
    <w:tmpl w:val="BD66850A"/>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43C75"/>
    <w:multiLevelType w:val="hybridMultilevel"/>
    <w:tmpl w:val="1CB6C41E"/>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B68BE"/>
    <w:multiLevelType w:val="hybridMultilevel"/>
    <w:tmpl w:val="F4E48D2E"/>
    <w:lvl w:ilvl="0" w:tplc="09E4B328">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3B2671"/>
    <w:multiLevelType w:val="hybridMultilevel"/>
    <w:tmpl w:val="E07A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94CE4"/>
    <w:multiLevelType w:val="multilevel"/>
    <w:tmpl w:val="9EEC665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60CD4"/>
    <w:multiLevelType w:val="hybridMultilevel"/>
    <w:tmpl w:val="A2FACF64"/>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15FFA"/>
    <w:multiLevelType w:val="hybridMultilevel"/>
    <w:tmpl w:val="756AFFAE"/>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C2FFE"/>
    <w:multiLevelType w:val="hybridMultilevel"/>
    <w:tmpl w:val="B16AC2BA"/>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F20E4"/>
    <w:multiLevelType w:val="hybridMultilevel"/>
    <w:tmpl w:val="F88813C6"/>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D7F62"/>
    <w:multiLevelType w:val="hybridMultilevel"/>
    <w:tmpl w:val="3BA0F70C"/>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7218B"/>
    <w:multiLevelType w:val="hybridMultilevel"/>
    <w:tmpl w:val="23F2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60A0B"/>
    <w:multiLevelType w:val="multilevel"/>
    <w:tmpl w:val="D5B88BAC"/>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F0D92"/>
    <w:multiLevelType w:val="hybridMultilevel"/>
    <w:tmpl w:val="87E4DDB8"/>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517A7"/>
    <w:multiLevelType w:val="hybridMultilevel"/>
    <w:tmpl w:val="1D8CFAE4"/>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B1796"/>
    <w:multiLevelType w:val="hybridMultilevel"/>
    <w:tmpl w:val="F4806220"/>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52568"/>
    <w:multiLevelType w:val="hybridMultilevel"/>
    <w:tmpl w:val="7A6E6674"/>
    <w:lvl w:ilvl="0" w:tplc="09E4B328">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AD3564B"/>
    <w:multiLevelType w:val="hybridMultilevel"/>
    <w:tmpl w:val="7234BAE0"/>
    <w:lvl w:ilvl="0" w:tplc="09E4B3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F4CE2"/>
    <w:multiLevelType w:val="multilevel"/>
    <w:tmpl w:val="59D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868004">
    <w:abstractNumId w:val="3"/>
  </w:num>
  <w:num w:numId="2" w16cid:durableId="596259081">
    <w:abstractNumId w:val="30"/>
  </w:num>
  <w:num w:numId="3" w16cid:durableId="183789795">
    <w:abstractNumId w:val="9"/>
  </w:num>
  <w:num w:numId="4" w16cid:durableId="93789354">
    <w:abstractNumId w:val="6"/>
  </w:num>
  <w:num w:numId="5" w16cid:durableId="580986024">
    <w:abstractNumId w:val="19"/>
  </w:num>
  <w:num w:numId="6" w16cid:durableId="113909333">
    <w:abstractNumId w:val="21"/>
  </w:num>
  <w:num w:numId="7" w16cid:durableId="1343505806">
    <w:abstractNumId w:val="2"/>
  </w:num>
  <w:num w:numId="8" w16cid:durableId="990520930">
    <w:abstractNumId w:val="13"/>
  </w:num>
  <w:num w:numId="9" w16cid:durableId="1774086090">
    <w:abstractNumId w:val="1"/>
  </w:num>
  <w:num w:numId="10" w16cid:durableId="1655792246">
    <w:abstractNumId w:val="4"/>
  </w:num>
  <w:num w:numId="11" w16cid:durableId="819034092">
    <w:abstractNumId w:val="27"/>
  </w:num>
  <w:num w:numId="12" w16cid:durableId="1204438910">
    <w:abstractNumId w:val="25"/>
  </w:num>
  <w:num w:numId="13" w16cid:durableId="1887063963">
    <w:abstractNumId w:val="11"/>
  </w:num>
  <w:num w:numId="14" w16cid:durableId="908006333">
    <w:abstractNumId w:val="22"/>
  </w:num>
  <w:num w:numId="15" w16cid:durableId="1370186700">
    <w:abstractNumId w:val="18"/>
  </w:num>
  <w:num w:numId="16" w16cid:durableId="1864586709">
    <w:abstractNumId w:val="10"/>
  </w:num>
  <w:num w:numId="17" w16cid:durableId="1537153754">
    <w:abstractNumId w:val="20"/>
  </w:num>
  <w:num w:numId="18" w16cid:durableId="592905262">
    <w:abstractNumId w:val="29"/>
  </w:num>
  <w:num w:numId="19" w16cid:durableId="1321882543">
    <w:abstractNumId w:val="14"/>
  </w:num>
  <w:num w:numId="20" w16cid:durableId="1040862473">
    <w:abstractNumId w:val="8"/>
  </w:num>
  <w:num w:numId="21" w16cid:durableId="1221284365">
    <w:abstractNumId w:val="7"/>
  </w:num>
  <w:num w:numId="22" w16cid:durableId="1799492631">
    <w:abstractNumId w:val="26"/>
  </w:num>
  <w:num w:numId="23" w16cid:durableId="653870910">
    <w:abstractNumId w:val="0"/>
  </w:num>
  <w:num w:numId="24" w16cid:durableId="1468162079">
    <w:abstractNumId w:val="12"/>
  </w:num>
  <w:num w:numId="25" w16cid:durableId="195586104">
    <w:abstractNumId w:val="24"/>
  </w:num>
  <w:num w:numId="26" w16cid:durableId="1364018996">
    <w:abstractNumId w:val="5"/>
  </w:num>
  <w:num w:numId="27" w16cid:durableId="881133035">
    <w:abstractNumId w:val="17"/>
  </w:num>
  <w:num w:numId="28" w16cid:durableId="1945653095">
    <w:abstractNumId w:val="23"/>
  </w:num>
  <w:num w:numId="29" w16cid:durableId="1215000544">
    <w:abstractNumId w:val="16"/>
  </w:num>
  <w:num w:numId="30" w16cid:durableId="2126727762">
    <w:abstractNumId w:val="15"/>
  </w:num>
  <w:num w:numId="31" w16cid:durableId="13512971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B6"/>
    <w:rsid w:val="00420ACA"/>
    <w:rsid w:val="00515F24"/>
    <w:rsid w:val="00607E23"/>
    <w:rsid w:val="006D39B6"/>
    <w:rsid w:val="006F65FD"/>
    <w:rsid w:val="00715E9C"/>
    <w:rsid w:val="008E5065"/>
    <w:rsid w:val="00D36FD3"/>
    <w:rsid w:val="00DB2614"/>
    <w:rsid w:val="00F452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910B"/>
  <w15:chartTrackingRefBased/>
  <w15:docId w15:val="{1965F1B6-B2FF-45B2-A6CD-C1BEA9C9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9B6"/>
    <w:rPr>
      <w:rFonts w:eastAsiaTheme="majorEastAsia" w:cstheme="majorBidi"/>
      <w:color w:val="272727" w:themeColor="text1" w:themeTint="D8"/>
    </w:rPr>
  </w:style>
  <w:style w:type="paragraph" w:styleId="Title">
    <w:name w:val="Title"/>
    <w:basedOn w:val="Normal"/>
    <w:next w:val="Normal"/>
    <w:link w:val="TitleChar"/>
    <w:uiPriority w:val="10"/>
    <w:qFormat/>
    <w:rsid w:val="006D3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9B6"/>
    <w:pPr>
      <w:spacing w:before="160"/>
      <w:jc w:val="center"/>
    </w:pPr>
    <w:rPr>
      <w:i/>
      <w:iCs/>
      <w:color w:val="404040" w:themeColor="text1" w:themeTint="BF"/>
    </w:rPr>
  </w:style>
  <w:style w:type="character" w:customStyle="1" w:styleId="QuoteChar">
    <w:name w:val="Quote Char"/>
    <w:basedOn w:val="DefaultParagraphFont"/>
    <w:link w:val="Quote"/>
    <w:uiPriority w:val="29"/>
    <w:rsid w:val="006D39B6"/>
    <w:rPr>
      <w:i/>
      <w:iCs/>
      <w:color w:val="404040" w:themeColor="text1" w:themeTint="BF"/>
    </w:rPr>
  </w:style>
  <w:style w:type="paragraph" w:styleId="ListParagraph">
    <w:name w:val="List Paragraph"/>
    <w:basedOn w:val="Normal"/>
    <w:uiPriority w:val="34"/>
    <w:qFormat/>
    <w:rsid w:val="006D39B6"/>
    <w:pPr>
      <w:ind w:left="720"/>
      <w:contextualSpacing/>
    </w:pPr>
  </w:style>
  <w:style w:type="character" w:styleId="IntenseEmphasis">
    <w:name w:val="Intense Emphasis"/>
    <w:basedOn w:val="DefaultParagraphFont"/>
    <w:uiPriority w:val="21"/>
    <w:qFormat/>
    <w:rsid w:val="006D39B6"/>
    <w:rPr>
      <w:i/>
      <w:iCs/>
      <w:color w:val="0F4761" w:themeColor="accent1" w:themeShade="BF"/>
    </w:rPr>
  </w:style>
  <w:style w:type="paragraph" w:styleId="IntenseQuote">
    <w:name w:val="Intense Quote"/>
    <w:basedOn w:val="Normal"/>
    <w:next w:val="Normal"/>
    <w:link w:val="IntenseQuoteChar"/>
    <w:uiPriority w:val="30"/>
    <w:qFormat/>
    <w:rsid w:val="006D3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9B6"/>
    <w:rPr>
      <w:i/>
      <w:iCs/>
      <w:color w:val="0F4761" w:themeColor="accent1" w:themeShade="BF"/>
    </w:rPr>
  </w:style>
  <w:style w:type="character" w:styleId="IntenseReference">
    <w:name w:val="Intense Reference"/>
    <w:basedOn w:val="DefaultParagraphFont"/>
    <w:uiPriority w:val="32"/>
    <w:qFormat/>
    <w:rsid w:val="006D39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875">
      <w:bodyDiv w:val="1"/>
      <w:marLeft w:val="0"/>
      <w:marRight w:val="0"/>
      <w:marTop w:val="0"/>
      <w:marBottom w:val="0"/>
      <w:divBdr>
        <w:top w:val="none" w:sz="0" w:space="0" w:color="auto"/>
        <w:left w:val="none" w:sz="0" w:space="0" w:color="auto"/>
        <w:bottom w:val="none" w:sz="0" w:space="0" w:color="auto"/>
        <w:right w:val="none" w:sz="0" w:space="0" w:color="auto"/>
      </w:divBdr>
    </w:div>
    <w:div w:id="329721031">
      <w:bodyDiv w:val="1"/>
      <w:marLeft w:val="0"/>
      <w:marRight w:val="0"/>
      <w:marTop w:val="0"/>
      <w:marBottom w:val="0"/>
      <w:divBdr>
        <w:top w:val="none" w:sz="0" w:space="0" w:color="auto"/>
        <w:left w:val="none" w:sz="0" w:space="0" w:color="auto"/>
        <w:bottom w:val="none" w:sz="0" w:space="0" w:color="auto"/>
        <w:right w:val="none" w:sz="0" w:space="0" w:color="auto"/>
      </w:divBdr>
    </w:div>
    <w:div w:id="334841556">
      <w:bodyDiv w:val="1"/>
      <w:marLeft w:val="0"/>
      <w:marRight w:val="0"/>
      <w:marTop w:val="0"/>
      <w:marBottom w:val="0"/>
      <w:divBdr>
        <w:top w:val="none" w:sz="0" w:space="0" w:color="auto"/>
        <w:left w:val="none" w:sz="0" w:space="0" w:color="auto"/>
        <w:bottom w:val="none" w:sz="0" w:space="0" w:color="auto"/>
        <w:right w:val="none" w:sz="0" w:space="0" w:color="auto"/>
      </w:divBdr>
    </w:div>
    <w:div w:id="390925791">
      <w:bodyDiv w:val="1"/>
      <w:marLeft w:val="0"/>
      <w:marRight w:val="0"/>
      <w:marTop w:val="0"/>
      <w:marBottom w:val="0"/>
      <w:divBdr>
        <w:top w:val="none" w:sz="0" w:space="0" w:color="auto"/>
        <w:left w:val="none" w:sz="0" w:space="0" w:color="auto"/>
        <w:bottom w:val="none" w:sz="0" w:space="0" w:color="auto"/>
        <w:right w:val="none" w:sz="0" w:space="0" w:color="auto"/>
      </w:divBdr>
    </w:div>
    <w:div w:id="439683832">
      <w:bodyDiv w:val="1"/>
      <w:marLeft w:val="0"/>
      <w:marRight w:val="0"/>
      <w:marTop w:val="0"/>
      <w:marBottom w:val="0"/>
      <w:divBdr>
        <w:top w:val="none" w:sz="0" w:space="0" w:color="auto"/>
        <w:left w:val="none" w:sz="0" w:space="0" w:color="auto"/>
        <w:bottom w:val="none" w:sz="0" w:space="0" w:color="auto"/>
        <w:right w:val="none" w:sz="0" w:space="0" w:color="auto"/>
      </w:divBdr>
    </w:div>
    <w:div w:id="515508500">
      <w:bodyDiv w:val="1"/>
      <w:marLeft w:val="0"/>
      <w:marRight w:val="0"/>
      <w:marTop w:val="0"/>
      <w:marBottom w:val="0"/>
      <w:divBdr>
        <w:top w:val="none" w:sz="0" w:space="0" w:color="auto"/>
        <w:left w:val="none" w:sz="0" w:space="0" w:color="auto"/>
        <w:bottom w:val="none" w:sz="0" w:space="0" w:color="auto"/>
        <w:right w:val="none" w:sz="0" w:space="0" w:color="auto"/>
      </w:divBdr>
    </w:div>
    <w:div w:id="522788227">
      <w:bodyDiv w:val="1"/>
      <w:marLeft w:val="0"/>
      <w:marRight w:val="0"/>
      <w:marTop w:val="0"/>
      <w:marBottom w:val="0"/>
      <w:divBdr>
        <w:top w:val="none" w:sz="0" w:space="0" w:color="auto"/>
        <w:left w:val="none" w:sz="0" w:space="0" w:color="auto"/>
        <w:bottom w:val="none" w:sz="0" w:space="0" w:color="auto"/>
        <w:right w:val="none" w:sz="0" w:space="0" w:color="auto"/>
      </w:divBdr>
    </w:div>
    <w:div w:id="566303270">
      <w:bodyDiv w:val="1"/>
      <w:marLeft w:val="0"/>
      <w:marRight w:val="0"/>
      <w:marTop w:val="0"/>
      <w:marBottom w:val="0"/>
      <w:divBdr>
        <w:top w:val="none" w:sz="0" w:space="0" w:color="auto"/>
        <w:left w:val="none" w:sz="0" w:space="0" w:color="auto"/>
        <w:bottom w:val="none" w:sz="0" w:space="0" w:color="auto"/>
        <w:right w:val="none" w:sz="0" w:space="0" w:color="auto"/>
      </w:divBdr>
    </w:div>
    <w:div w:id="828056473">
      <w:bodyDiv w:val="1"/>
      <w:marLeft w:val="0"/>
      <w:marRight w:val="0"/>
      <w:marTop w:val="0"/>
      <w:marBottom w:val="0"/>
      <w:divBdr>
        <w:top w:val="none" w:sz="0" w:space="0" w:color="auto"/>
        <w:left w:val="none" w:sz="0" w:space="0" w:color="auto"/>
        <w:bottom w:val="none" w:sz="0" w:space="0" w:color="auto"/>
        <w:right w:val="none" w:sz="0" w:space="0" w:color="auto"/>
      </w:divBdr>
    </w:div>
    <w:div w:id="998771013">
      <w:bodyDiv w:val="1"/>
      <w:marLeft w:val="0"/>
      <w:marRight w:val="0"/>
      <w:marTop w:val="0"/>
      <w:marBottom w:val="0"/>
      <w:divBdr>
        <w:top w:val="none" w:sz="0" w:space="0" w:color="auto"/>
        <w:left w:val="none" w:sz="0" w:space="0" w:color="auto"/>
        <w:bottom w:val="none" w:sz="0" w:space="0" w:color="auto"/>
        <w:right w:val="none" w:sz="0" w:space="0" w:color="auto"/>
      </w:divBdr>
    </w:div>
    <w:div w:id="1060514786">
      <w:bodyDiv w:val="1"/>
      <w:marLeft w:val="0"/>
      <w:marRight w:val="0"/>
      <w:marTop w:val="0"/>
      <w:marBottom w:val="0"/>
      <w:divBdr>
        <w:top w:val="none" w:sz="0" w:space="0" w:color="auto"/>
        <w:left w:val="none" w:sz="0" w:space="0" w:color="auto"/>
        <w:bottom w:val="none" w:sz="0" w:space="0" w:color="auto"/>
        <w:right w:val="none" w:sz="0" w:space="0" w:color="auto"/>
      </w:divBdr>
    </w:div>
    <w:div w:id="1100298248">
      <w:bodyDiv w:val="1"/>
      <w:marLeft w:val="0"/>
      <w:marRight w:val="0"/>
      <w:marTop w:val="0"/>
      <w:marBottom w:val="0"/>
      <w:divBdr>
        <w:top w:val="none" w:sz="0" w:space="0" w:color="auto"/>
        <w:left w:val="none" w:sz="0" w:space="0" w:color="auto"/>
        <w:bottom w:val="none" w:sz="0" w:space="0" w:color="auto"/>
        <w:right w:val="none" w:sz="0" w:space="0" w:color="auto"/>
      </w:divBdr>
    </w:div>
    <w:div w:id="1349257893">
      <w:bodyDiv w:val="1"/>
      <w:marLeft w:val="0"/>
      <w:marRight w:val="0"/>
      <w:marTop w:val="0"/>
      <w:marBottom w:val="0"/>
      <w:divBdr>
        <w:top w:val="none" w:sz="0" w:space="0" w:color="auto"/>
        <w:left w:val="none" w:sz="0" w:space="0" w:color="auto"/>
        <w:bottom w:val="none" w:sz="0" w:space="0" w:color="auto"/>
        <w:right w:val="none" w:sz="0" w:space="0" w:color="auto"/>
      </w:divBdr>
    </w:div>
    <w:div w:id="1449548631">
      <w:bodyDiv w:val="1"/>
      <w:marLeft w:val="0"/>
      <w:marRight w:val="0"/>
      <w:marTop w:val="0"/>
      <w:marBottom w:val="0"/>
      <w:divBdr>
        <w:top w:val="none" w:sz="0" w:space="0" w:color="auto"/>
        <w:left w:val="none" w:sz="0" w:space="0" w:color="auto"/>
        <w:bottom w:val="none" w:sz="0" w:space="0" w:color="auto"/>
        <w:right w:val="none" w:sz="0" w:space="0" w:color="auto"/>
      </w:divBdr>
    </w:div>
    <w:div w:id="1524780221">
      <w:bodyDiv w:val="1"/>
      <w:marLeft w:val="0"/>
      <w:marRight w:val="0"/>
      <w:marTop w:val="0"/>
      <w:marBottom w:val="0"/>
      <w:divBdr>
        <w:top w:val="none" w:sz="0" w:space="0" w:color="auto"/>
        <w:left w:val="none" w:sz="0" w:space="0" w:color="auto"/>
        <w:bottom w:val="none" w:sz="0" w:space="0" w:color="auto"/>
        <w:right w:val="none" w:sz="0" w:space="0" w:color="auto"/>
      </w:divBdr>
    </w:div>
    <w:div w:id="1624144835">
      <w:bodyDiv w:val="1"/>
      <w:marLeft w:val="0"/>
      <w:marRight w:val="0"/>
      <w:marTop w:val="0"/>
      <w:marBottom w:val="0"/>
      <w:divBdr>
        <w:top w:val="none" w:sz="0" w:space="0" w:color="auto"/>
        <w:left w:val="none" w:sz="0" w:space="0" w:color="auto"/>
        <w:bottom w:val="none" w:sz="0" w:space="0" w:color="auto"/>
        <w:right w:val="none" w:sz="0" w:space="0" w:color="auto"/>
      </w:divBdr>
    </w:div>
    <w:div w:id="1666325906">
      <w:bodyDiv w:val="1"/>
      <w:marLeft w:val="0"/>
      <w:marRight w:val="0"/>
      <w:marTop w:val="0"/>
      <w:marBottom w:val="0"/>
      <w:divBdr>
        <w:top w:val="none" w:sz="0" w:space="0" w:color="auto"/>
        <w:left w:val="none" w:sz="0" w:space="0" w:color="auto"/>
        <w:bottom w:val="none" w:sz="0" w:space="0" w:color="auto"/>
        <w:right w:val="none" w:sz="0" w:space="0" w:color="auto"/>
      </w:divBdr>
    </w:div>
    <w:div w:id="172478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2024-08-23T12:47:00Z</dcterms:created>
  <dcterms:modified xsi:type="dcterms:W3CDTF">2024-08-23T13:09:00Z</dcterms:modified>
</cp:coreProperties>
</file>