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321AF2" w:rsidRDefault="003C56A6" w:rsidP="00AF54B0">
      <w:pPr>
        <w:spacing w:line="480" w:lineRule="auto"/>
        <w:jc w:val="center"/>
        <w:rPr>
          <w:rFonts w:ascii="Times New Roman" w:hAnsi="Times New Roman" w:cs="Times New Roman"/>
          <w:color w:val="000000" w:themeColor="text1"/>
          <w:sz w:val="24"/>
          <w:szCs w:val="24"/>
        </w:rPr>
      </w:pPr>
      <w:r w:rsidRPr="00321AF2">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D481D"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321AF2" w:rsidRDefault="00AF54B0" w:rsidP="00AF54B0">
      <w:pPr>
        <w:spacing w:line="480" w:lineRule="auto"/>
        <w:jc w:val="center"/>
        <w:rPr>
          <w:rFonts w:ascii="Times New Roman" w:hAnsi="Times New Roman" w:cs="Times New Roman"/>
          <w:color w:val="000000" w:themeColor="text1"/>
          <w:sz w:val="24"/>
          <w:szCs w:val="24"/>
        </w:rPr>
      </w:pPr>
    </w:p>
    <w:p w14:paraId="47A03220" w14:textId="189A1602" w:rsidR="00C95A15" w:rsidRPr="00321AF2" w:rsidRDefault="00D72358"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321AF2">
        <w:rPr>
          <w:b w:val="0"/>
          <w:bCs w:val="0"/>
          <w:color w:val="000000" w:themeColor="text1"/>
          <w:sz w:val="24"/>
          <w:szCs w:val="24"/>
          <w:shd w:val="clear" w:color="auto" w:fill="FFFFFF"/>
        </w:rPr>
        <w:t>The Equifax Data Breach:</w:t>
      </w:r>
    </w:p>
    <w:p w14:paraId="5D1A7F20" w14:textId="10DC89A4" w:rsidR="00D72358" w:rsidRPr="00321AF2" w:rsidRDefault="00D72358"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321AF2">
        <w:rPr>
          <w:b w:val="0"/>
          <w:bCs w:val="0"/>
          <w:color w:val="000000" w:themeColor="text1"/>
          <w:sz w:val="24"/>
          <w:szCs w:val="24"/>
          <w:shd w:val="clear" w:color="auto" w:fill="FFFFFF"/>
        </w:rPr>
        <w:t>A Comprehensive Analysis</w:t>
      </w:r>
    </w:p>
    <w:p w14:paraId="307C7A96" w14:textId="77777777" w:rsidR="009C18FC" w:rsidRPr="00321AF2"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2096D4BD" w14:textId="77777777" w:rsidR="00430B3F" w:rsidRPr="00321AF2" w:rsidRDefault="00C95A15" w:rsidP="009C18FC">
      <w:pPr>
        <w:spacing w:line="480" w:lineRule="auto"/>
        <w:jc w:val="center"/>
        <w:rPr>
          <w:rFonts w:ascii="Times New Roman" w:hAnsi="Times New Roman" w:cs="Times New Roman"/>
          <w:color w:val="000000" w:themeColor="text1"/>
          <w:sz w:val="24"/>
          <w:szCs w:val="24"/>
        </w:rPr>
      </w:pPr>
      <w:r w:rsidRPr="00321AF2">
        <w:rPr>
          <w:rFonts w:ascii="Times New Roman" w:hAnsi="Times New Roman" w:cs="Times New Roman"/>
          <w:color w:val="000000" w:themeColor="text1"/>
          <w:sz w:val="24"/>
          <w:szCs w:val="24"/>
        </w:rPr>
        <w:t xml:space="preserve">Pooja Bendre, Ezhilarasu R, </w:t>
      </w:r>
      <w:r w:rsidR="00E71643" w:rsidRPr="00321AF2">
        <w:rPr>
          <w:rFonts w:ascii="Times New Roman" w:hAnsi="Times New Roman" w:cs="Times New Roman"/>
          <w:color w:val="000000" w:themeColor="text1"/>
          <w:sz w:val="24"/>
          <w:szCs w:val="24"/>
        </w:rPr>
        <w:t>Pritam Chaterjee</w:t>
      </w:r>
      <w:r w:rsidRPr="00321AF2">
        <w:rPr>
          <w:rFonts w:ascii="Times New Roman" w:hAnsi="Times New Roman" w:cs="Times New Roman"/>
          <w:color w:val="000000" w:themeColor="text1"/>
          <w:sz w:val="24"/>
          <w:szCs w:val="24"/>
        </w:rPr>
        <w:t xml:space="preserve">, </w:t>
      </w:r>
    </w:p>
    <w:p w14:paraId="44B2FABF" w14:textId="1D45FA0F" w:rsidR="009C18FC" w:rsidRPr="00321AF2" w:rsidRDefault="00E71643" w:rsidP="009C18FC">
      <w:pPr>
        <w:spacing w:line="480" w:lineRule="auto"/>
        <w:jc w:val="center"/>
        <w:rPr>
          <w:rFonts w:ascii="Times New Roman" w:hAnsi="Times New Roman" w:cs="Times New Roman"/>
          <w:color w:val="000000" w:themeColor="text1"/>
          <w:sz w:val="24"/>
          <w:szCs w:val="24"/>
        </w:rPr>
      </w:pPr>
      <w:r w:rsidRPr="00321AF2">
        <w:rPr>
          <w:rFonts w:ascii="Times New Roman" w:hAnsi="Times New Roman" w:cs="Times New Roman"/>
          <w:color w:val="000000" w:themeColor="text1"/>
          <w:sz w:val="24"/>
          <w:szCs w:val="24"/>
        </w:rPr>
        <w:t xml:space="preserve">Sowjanya Konduri </w:t>
      </w:r>
      <w:r w:rsidR="00C95A15" w:rsidRPr="00321AF2">
        <w:rPr>
          <w:rFonts w:ascii="Times New Roman" w:hAnsi="Times New Roman" w:cs="Times New Roman"/>
          <w:color w:val="000000" w:themeColor="text1"/>
          <w:sz w:val="24"/>
          <w:szCs w:val="24"/>
        </w:rPr>
        <w:t xml:space="preserve">and </w:t>
      </w:r>
      <w:r w:rsidR="009C18FC" w:rsidRPr="00321AF2">
        <w:rPr>
          <w:rFonts w:ascii="Times New Roman" w:hAnsi="Times New Roman" w:cs="Times New Roman"/>
          <w:color w:val="000000" w:themeColor="text1"/>
          <w:sz w:val="24"/>
          <w:szCs w:val="24"/>
        </w:rPr>
        <w:t>Ritesh Kumar</w:t>
      </w:r>
    </w:p>
    <w:p w14:paraId="214A4190"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4F738873" w14:textId="68C64FF4" w:rsidR="009C18FC" w:rsidRPr="00321AF2" w:rsidRDefault="009C18FC" w:rsidP="009C18FC">
      <w:pPr>
        <w:spacing w:line="480" w:lineRule="auto"/>
        <w:jc w:val="center"/>
        <w:rPr>
          <w:rFonts w:ascii="Times New Roman" w:hAnsi="Times New Roman" w:cs="Times New Roman"/>
          <w:color w:val="000000" w:themeColor="text1"/>
          <w:sz w:val="24"/>
          <w:szCs w:val="24"/>
        </w:rPr>
      </w:pPr>
      <w:r w:rsidRPr="00321AF2">
        <w:rPr>
          <w:rFonts w:ascii="Times New Roman" w:hAnsi="Times New Roman" w:cs="Times New Roman"/>
          <w:color w:val="000000" w:themeColor="text1"/>
          <w:sz w:val="24"/>
          <w:szCs w:val="24"/>
        </w:rPr>
        <w:t>2024SP_MS_DSP_4</w:t>
      </w:r>
      <w:r w:rsidR="00831AF7" w:rsidRPr="00321AF2">
        <w:rPr>
          <w:rFonts w:ascii="Times New Roman" w:hAnsi="Times New Roman" w:cs="Times New Roman"/>
          <w:color w:val="000000" w:themeColor="text1"/>
          <w:sz w:val="24"/>
          <w:szCs w:val="24"/>
        </w:rPr>
        <w:t>85</w:t>
      </w:r>
      <w:r w:rsidRPr="00321AF2">
        <w:rPr>
          <w:rFonts w:ascii="Times New Roman" w:hAnsi="Times New Roman" w:cs="Times New Roman"/>
          <w:color w:val="000000" w:themeColor="text1"/>
          <w:sz w:val="24"/>
          <w:szCs w:val="24"/>
        </w:rPr>
        <w:t xml:space="preserve">-DL_SEC61:  </w:t>
      </w:r>
      <w:r w:rsidR="00831AF7" w:rsidRPr="00321AF2">
        <w:rPr>
          <w:rFonts w:ascii="Times New Roman" w:hAnsi="Times New Roman" w:cs="Times New Roman"/>
          <w:color w:val="000000" w:themeColor="text1"/>
          <w:sz w:val="24"/>
          <w:szCs w:val="24"/>
        </w:rPr>
        <w:t>Data Governance, Ethics, and Law</w:t>
      </w:r>
    </w:p>
    <w:p w14:paraId="1E467AC5" w14:textId="77777777" w:rsidR="009C18FC" w:rsidRPr="00321AF2" w:rsidRDefault="009C18FC" w:rsidP="009C18FC">
      <w:pPr>
        <w:spacing w:line="480" w:lineRule="auto"/>
        <w:jc w:val="center"/>
        <w:rPr>
          <w:rFonts w:ascii="Times New Roman" w:hAnsi="Times New Roman" w:cs="Times New Roman"/>
          <w:color w:val="000000" w:themeColor="text1"/>
          <w:sz w:val="24"/>
          <w:szCs w:val="24"/>
        </w:rPr>
      </w:pPr>
    </w:p>
    <w:p w14:paraId="10E0ACFD" w14:textId="3FC0354A" w:rsidR="009C18FC" w:rsidRPr="00321AF2" w:rsidRDefault="009C18FC" w:rsidP="009C18FC">
      <w:pPr>
        <w:spacing w:line="480" w:lineRule="auto"/>
        <w:jc w:val="center"/>
        <w:rPr>
          <w:rFonts w:ascii="Times New Roman" w:hAnsi="Times New Roman" w:cs="Times New Roman"/>
          <w:color w:val="000000" w:themeColor="text1"/>
          <w:sz w:val="24"/>
          <w:szCs w:val="24"/>
        </w:rPr>
      </w:pPr>
      <w:r w:rsidRPr="00321AF2">
        <w:rPr>
          <w:rFonts w:ascii="Times New Roman" w:hAnsi="Times New Roman" w:cs="Times New Roman"/>
          <w:color w:val="000000" w:themeColor="text1"/>
          <w:sz w:val="24"/>
          <w:szCs w:val="24"/>
        </w:rPr>
        <w:t xml:space="preserve">Module </w:t>
      </w:r>
      <w:r w:rsidR="003D5243" w:rsidRPr="00321AF2">
        <w:rPr>
          <w:rFonts w:ascii="Times New Roman" w:hAnsi="Times New Roman" w:cs="Times New Roman"/>
          <w:color w:val="000000" w:themeColor="text1"/>
          <w:sz w:val="24"/>
          <w:szCs w:val="24"/>
        </w:rPr>
        <w:t>7</w:t>
      </w:r>
    </w:p>
    <w:p w14:paraId="79E0DC65" w14:textId="2E660E65" w:rsidR="00831AF7" w:rsidRPr="00321AF2" w:rsidRDefault="00831AF7" w:rsidP="00831AF7">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321AF2">
        <w:rPr>
          <w:b w:val="0"/>
          <w:bCs w:val="0"/>
          <w:color w:val="000000" w:themeColor="text1"/>
          <w:sz w:val="24"/>
          <w:szCs w:val="24"/>
          <w:shd w:val="clear" w:color="auto" w:fill="FFFFFF"/>
        </w:rPr>
        <w:t>Data Governance Case Study</w:t>
      </w:r>
      <w:r w:rsidR="006B795A" w:rsidRPr="00321AF2">
        <w:rPr>
          <w:b w:val="0"/>
          <w:bCs w:val="0"/>
          <w:color w:val="000000" w:themeColor="text1"/>
          <w:sz w:val="24"/>
          <w:szCs w:val="24"/>
          <w:shd w:val="clear" w:color="auto" w:fill="FFFFFF"/>
        </w:rPr>
        <w:t xml:space="preserve"> </w:t>
      </w:r>
      <w:r w:rsidR="00FF1F0B" w:rsidRPr="00321AF2">
        <w:rPr>
          <w:b w:val="0"/>
          <w:bCs w:val="0"/>
          <w:color w:val="000000" w:themeColor="text1"/>
          <w:sz w:val="24"/>
          <w:szCs w:val="24"/>
          <w:shd w:val="clear" w:color="auto" w:fill="FFFFFF"/>
        </w:rPr>
        <w:t>2</w:t>
      </w:r>
    </w:p>
    <w:p w14:paraId="739737FA" w14:textId="552A0057" w:rsidR="009C18FC" w:rsidRPr="00321AF2" w:rsidRDefault="00CB5F3F"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321AF2">
        <w:rPr>
          <w:rFonts w:eastAsiaTheme="minorHAnsi"/>
          <w:b w:val="0"/>
          <w:bCs w:val="0"/>
          <w:color w:val="000000" w:themeColor="text1"/>
          <w:kern w:val="2"/>
          <w:sz w:val="24"/>
          <w:szCs w:val="24"/>
          <w:lang w:eastAsia="en-US"/>
          <w14:ligatures w14:val="standardContextual"/>
        </w:rPr>
        <w:t xml:space="preserve">Candice Bradley </w:t>
      </w:r>
      <w:r w:rsidR="00C95A15" w:rsidRPr="00321AF2">
        <w:rPr>
          <w:rFonts w:eastAsiaTheme="minorHAnsi"/>
          <w:b w:val="0"/>
          <w:bCs w:val="0"/>
          <w:color w:val="000000" w:themeColor="text1"/>
          <w:kern w:val="2"/>
          <w:sz w:val="24"/>
          <w:szCs w:val="24"/>
          <w:lang w:eastAsia="en-US"/>
          <w14:ligatures w14:val="standardContextual"/>
        </w:rPr>
        <w:t xml:space="preserve">and </w:t>
      </w:r>
      <w:r w:rsidRPr="00321AF2">
        <w:rPr>
          <w:rFonts w:eastAsiaTheme="minorHAnsi"/>
          <w:b w:val="0"/>
          <w:bCs w:val="0"/>
          <w:color w:val="000000" w:themeColor="text1"/>
          <w:kern w:val="2"/>
          <w:sz w:val="24"/>
          <w:szCs w:val="24"/>
          <w:lang w:eastAsia="en-US"/>
          <w14:ligatures w14:val="standardContextual"/>
        </w:rPr>
        <w:t>Pushkar Shah</w:t>
      </w:r>
    </w:p>
    <w:p w14:paraId="0B4B76AC" w14:textId="0EE426F0" w:rsidR="009C18FC" w:rsidRPr="00321AF2"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321AF2">
        <w:rPr>
          <w:rFonts w:eastAsiaTheme="minorHAnsi"/>
          <w:b w:val="0"/>
          <w:bCs w:val="0"/>
          <w:color w:val="000000" w:themeColor="text1"/>
          <w:kern w:val="2"/>
          <w:sz w:val="24"/>
          <w:szCs w:val="24"/>
          <w:lang w:eastAsia="en-US"/>
          <w14:ligatures w14:val="standardContextual"/>
        </w:rPr>
        <w:t>Ju</w:t>
      </w:r>
      <w:r w:rsidR="003D5243" w:rsidRPr="00321AF2">
        <w:rPr>
          <w:rFonts w:eastAsiaTheme="minorHAnsi"/>
          <w:b w:val="0"/>
          <w:bCs w:val="0"/>
          <w:color w:val="000000" w:themeColor="text1"/>
          <w:kern w:val="2"/>
          <w:sz w:val="24"/>
          <w:szCs w:val="24"/>
          <w:lang w:eastAsia="en-US"/>
          <w14:ligatures w14:val="standardContextual"/>
        </w:rPr>
        <w:t>ly</w:t>
      </w:r>
      <w:r w:rsidRPr="00321AF2">
        <w:rPr>
          <w:rFonts w:eastAsiaTheme="minorHAnsi"/>
          <w:b w:val="0"/>
          <w:bCs w:val="0"/>
          <w:color w:val="000000" w:themeColor="text1"/>
          <w:kern w:val="2"/>
          <w:sz w:val="24"/>
          <w:szCs w:val="24"/>
          <w:lang w:eastAsia="en-US"/>
          <w14:ligatures w14:val="standardContextual"/>
        </w:rPr>
        <w:t xml:space="preserve"> </w:t>
      </w:r>
      <w:r w:rsidR="00C95A15" w:rsidRPr="00321AF2">
        <w:rPr>
          <w:rFonts w:eastAsiaTheme="minorHAnsi"/>
          <w:b w:val="0"/>
          <w:bCs w:val="0"/>
          <w:color w:val="000000" w:themeColor="text1"/>
          <w:kern w:val="2"/>
          <w:sz w:val="24"/>
          <w:szCs w:val="24"/>
          <w:lang w:eastAsia="en-US"/>
          <w14:ligatures w14:val="standardContextual"/>
        </w:rPr>
        <w:t>2</w:t>
      </w:r>
      <w:r w:rsidR="00892F18">
        <w:rPr>
          <w:rFonts w:eastAsiaTheme="minorHAnsi"/>
          <w:b w:val="0"/>
          <w:bCs w:val="0"/>
          <w:color w:val="000000" w:themeColor="text1"/>
          <w:kern w:val="2"/>
          <w:sz w:val="24"/>
          <w:szCs w:val="24"/>
          <w:lang w:eastAsia="en-US"/>
          <w14:ligatures w14:val="standardContextual"/>
        </w:rPr>
        <w:t>9</w:t>
      </w:r>
      <w:r w:rsidRPr="00321AF2">
        <w:rPr>
          <w:rFonts w:eastAsiaTheme="minorHAnsi"/>
          <w:b w:val="0"/>
          <w:bCs w:val="0"/>
          <w:color w:val="000000" w:themeColor="text1"/>
          <w:kern w:val="2"/>
          <w:sz w:val="24"/>
          <w:szCs w:val="24"/>
          <w:lang w:eastAsia="en-US"/>
          <w14:ligatures w14:val="standardContextual"/>
        </w:rPr>
        <w:t>, 2024</w:t>
      </w:r>
    </w:p>
    <w:p w14:paraId="62C4041C" w14:textId="62259773" w:rsidR="006747B0" w:rsidRPr="00321AF2" w:rsidRDefault="00AF54B0" w:rsidP="00FF1268">
      <w:pPr>
        <w:jc w:val="center"/>
        <w:rPr>
          <w:rFonts w:ascii="Times New Roman" w:hAnsi="Times New Roman" w:cs="Times New Roman"/>
          <w:sz w:val="24"/>
          <w:szCs w:val="24"/>
        </w:rPr>
      </w:pPr>
      <w:r w:rsidRPr="00321AF2">
        <w:rPr>
          <w:rFonts w:ascii="Times New Roman" w:hAnsi="Times New Roman" w:cs="Times New Roman"/>
          <w:sz w:val="24"/>
          <w:szCs w:val="24"/>
        </w:rPr>
        <w:br w:type="page"/>
      </w:r>
      <w:r w:rsidR="006747B0" w:rsidRPr="00321AF2">
        <w:rPr>
          <w:rFonts w:ascii="Times New Roman" w:hAnsi="Times New Roman" w:cs="Times New Roman"/>
          <w:sz w:val="24"/>
          <w:szCs w:val="24"/>
        </w:rPr>
        <w:lastRenderedPageBreak/>
        <w:t>Table of Contents</w:t>
      </w:r>
    </w:p>
    <w:p w14:paraId="4C7E15EF" w14:textId="70645F02" w:rsidR="00321AF2" w:rsidRPr="00321AF2" w:rsidRDefault="005D0512">
      <w:pPr>
        <w:pStyle w:val="TOC1"/>
        <w:tabs>
          <w:tab w:val="right" w:leader="dot" w:pos="9016"/>
        </w:tabs>
        <w:rPr>
          <w:rFonts w:ascii="Times New Roman" w:eastAsiaTheme="minorEastAsia" w:hAnsi="Times New Roman" w:cs="Times New Roman"/>
          <w:b w:val="0"/>
          <w:bCs w:val="0"/>
          <w:noProof/>
          <w:sz w:val="24"/>
          <w:szCs w:val="24"/>
          <w:lang w:eastAsia="en-IN"/>
        </w:rPr>
      </w:pPr>
      <w:r w:rsidRPr="00321AF2">
        <w:rPr>
          <w:rFonts w:ascii="Times New Roman" w:hAnsi="Times New Roman" w:cs="Times New Roman"/>
          <w:b w:val="0"/>
          <w:bCs w:val="0"/>
          <w:caps/>
          <w:sz w:val="24"/>
          <w:szCs w:val="24"/>
        </w:rPr>
        <w:fldChar w:fldCharType="begin"/>
      </w:r>
      <w:r w:rsidRPr="00321AF2">
        <w:rPr>
          <w:rFonts w:ascii="Times New Roman" w:hAnsi="Times New Roman" w:cs="Times New Roman"/>
          <w:b w:val="0"/>
          <w:bCs w:val="0"/>
          <w:caps/>
          <w:sz w:val="24"/>
          <w:szCs w:val="24"/>
        </w:rPr>
        <w:instrText xml:space="preserve"> TOC \o "2-3" \f \h \z \t "Head1,1,Head2,2" </w:instrText>
      </w:r>
      <w:r w:rsidRPr="00321AF2">
        <w:rPr>
          <w:rFonts w:ascii="Times New Roman" w:hAnsi="Times New Roman" w:cs="Times New Roman"/>
          <w:b w:val="0"/>
          <w:bCs w:val="0"/>
          <w:caps/>
          <w:sz w:val="24"/>
          <w:szCs w:val="24"/>
        </w:rPr>
        <w:fldChar w:fldCharType="separate"/>
      </w:r>
      <w:hyperlink w:anchor="_Toc173083635" w:history="1">
        <w:r w:rsidR="00321AF2" w:rsidRPr="00321AF2">
          <w:rPr>
            <w:rStyle w:val="Hyperlink"/>
            <w:rFonts w:ascii="Times New Roman" w:hAnsi="Times New Roman" w:cs="Times New Roman"/>
            <w:b w:val="0"/>
            <w:bCs w:val="0"/>
            <w:noProof/>
            <w:sz w:val="24"/>
            <w:szCs w:val="24"/>
          </w:rPr>
          <w:t>Introduction</w:t>
        </w:r>
        <w:r w:rsidR="00321AF2" w:rsidRPr="00321AF2">
          <w:rPr>
            <w:rFonts w:ascii="Times New Roman" w:hAnsi="Times New Roman" w:cs="Times New Roman"/>
            <w:b w:val="0"/>
            <w:bCs w:val="0"/>
            <w:noProof/>
            <w:webHidden/>
            <w:sz w:val="24"/>
            <w:szCs w:val="24"/>
          </w:rPr>
          <w:tab/>
        </w:r>
        <w:r w:rsidR="00321AF2" w:rsidRPr="00321AF2">
          <w:rPr>
            <w:rFonts w:ascii="Times New Roman" w:hAnsi="Times New Roman" w:cs="Times New Roman"/>
            <w:b w:val="0"/>
            <w:bCs w:val="0"/>
            <w:noProof/>
            <w:webHidden/>
            <w:sz w:val="24"/>
            <w:szCs w:val="24"/>
          </w:rPr>
          <w:fldChar w:fldCharType="begin"/>
        </w:r>
        <w:r w:rsidR="00321AF2" w:rsidRPr="00321AF2">
          <w:rPr>
            <w:rFonts w:ascii="Times New Roman" w:hAnsi="Times New Roman" w:cs="Times New Roman"/>
            <w:b w:val="0"/>
            <w:bCs w:val="0"/>
            <w:noProof/>
            <w:webHidden/>
            <w:sz w:val="24"/>
            <w:szCs w:val="24"/>
          </w:rPr>
          <w:instrText xml:space="preserve"> PAGEREF _Toc173083635 \h </w:instrText>
        </w:r>
        <w:r w:rsidR="00321AF2" w:rsidRPr="00321AF2">
          <w:rPr>
            <w:rFonts w:ascii="Times New Roman" w:hAnsi="Times New Roman" w:cs="Times New Roman"/>
            <w:b w:val="0"/>
            <w:bCs w:val="0"/>
            <w:noProof/>
            <w:webHidden/>
            <w:sz w:val="24"/>
            <w:szCs w:val="24"/>
          </w:rPr>
        </w:r>
        <w:r w:rsidR="00321AF2" w:rsidRPr="00321AF2">
          <w:rPr>
            <w:rFonts w:ascii="Times New Roman" w:hAnsi="Times New Roman" w:cs="Times New Roman"/>
            <w:b w:val="0"/>
            <w:bCs w:val="0"/>
            <w:noProof/>
            <w:webHidden/>
            <w:sz w:val="24"/>
            <w:szCs w:val="24"/>
          </w:rPr>
          <w:fldChar w:fldCharType="separate"/>
        </w:r>
        <w:r w:rsidR="000B53C0">
          <w:rPr>
            <w:rFonts w:ascii="Times New Roman" w:hAnsi="Times New Roman" w:cs="Times New Roman"/>
            <w:b w:val="0"/>
            <w:bCs w:val="0"/>
            <w:noProof/>
            <w:webHidden/>
            <w:sz w:val="24"/>
            <w:szCs w:val="24"/>
          </w:rPr>
          <w:t>2</w:t>
        </w:r>
        <w:r w:rsidR="00321AF2" w:rsidRPr="00321AF2">
          <w:rPr>
            <w:rFonts w:ascii="Times New Roman" w:hAnsi="Times New Roman" w:cs="Times New Roman"/>
            <w:b w:val="0"/>
            <w:bCs w:val="0"/>
            <w:noProof/>
            <w:webHidden/>
            <w:sz w:val="24"/>
            <w:szCs w:val="24"/>
          </w:rPr>
          <w:fldChar w:fldCharType="end"/>
        </w:r>
      </w:hyperlink>
    </w:p>
    <w:p w14:paraId="1C1C4645" w14:textId="4AAC2945"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36" w:history="1">
        <w:r w:rsidRPr="00321AF2">
          <w:rPr>
            <w:rStyle w:val="Hyperlink"/>
            <w:rFonts w:ascii="Times New Roman" w:hAnsi="Times New Roman" w:cs="Times New Roman"/>
            <w:i w:val="0"/>
            <w:iCs w:val="0"/>
            <w:noProof/>
            <w:sz w:val="24"/>
            <w:szCs w:val="24"/>
          </w:rPr>
          <w:t>Background and History</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_Toc173083636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2</w:t>
        </w:r>
        <w:r w:rsidRPr="00321AF2">
          <w:rPr>
            <w:rFonts w:ascii="Times New Roman" w:hAnsi="Times New Roman" w:cs="Times New Roman"/>
            <w:i w:val="0"/>
            <w:iCs w:val="0"/>
            <w:noProof/>
            <w:webHidden/>
            <w:sz w:val="24"/>
            <w:szCs w:val="24"/>
          </w:rPr>
          <w:fldChar w:fldCharType="end"/>
        </w:r>
      </w:hyperlink>
    </w:p>
    <w:p w14:paraId="03C093BF" w14:textId="38FEB67E"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37" w:history="1">
        <w:r w:rsidRPr="00321AF2">
          <w:rPr>
            <w:rStyle w:val="Hyperlink"/>
            <w:rFonts w:ascii="Times New Roman" w:hAnsi="Times New Roman" w:cs="Times New Roman"/>
            <w:i w:val="0"/>
            <w:iCs w:val="0"/>
            <w:noProof/>
            <w:sz w:val="24"/>
            <w:szCs w:val="24"/>
          </w:rPr>
          <w:t>Nature and Scope of the Breach</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_Toc173083637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3</w:t>
        </w:r>
        <w:r w:rsidRPr="00321AF2">
          <w:rPr>
            <w:rFonts w:ascii="Times New Roman" w:hAnsi="Times New Roman" w:cs="Times New Roman"/>
            <w:i w:val="0"/>
            <w:iCs w:val="0"/>
            <w:noProof/>
            <w:webHidden/>
            <w:sz w:val="24"/>
            <w:szCs w:val="24"/>
          </w:rPr>
          <w:fldChar w:fldCharType="end"/>
        </w:r>
      </w:hyperlink>
    </w:p>
    <w:p w14:paraId="0DF0AF3A" w14:textId="41ED8C07"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38" w:history="1">
        <w:r w:rsidRPr="00321AF2">
          <w:rPr>
            <w:rStyle w:val="Hyperlink"/>
            <w:rFonts w:ascii="Times New Roman" w:hAnsi="Times New Roman" w:cs="Times New Roman"/>
            <w:i w:val="0"/>
            <w:iCs w:val="0"/>
            <w:noProof/>
            <w:sz w:val="24"/>
            <w:szCs w:val="24"/>
          </w:rPr>
          <w:t>Security Failures Leading to the Breach</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_Toc173083638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3</w:t>
        </w:r>
        <w:r w:rsidRPr="00321AF2">
          <w:rPr>
            <w:rFonts w:ascii="Times New Roman" w:hAnsi="Times New Roman" w:cs="Times New Roman"/>
            <w:i w:val="0"/>
            <w:iCs w:val="0"/>
            <w:noProof/>
            <w:webHidden/>
            <w:sz w:val="24"/>
            <w:szCs w:val="24"/>
          </w:rPr>
          <w:fldChar w:fldCharType="end"/>
        </w:r>
      </w:hyperlink>
    </w:p>
    <w:p w14:paraId="657EF752" w14:textId="14D2364E" w:rsidR="00321AF2" w:rsidRPr="00321AF2" w:rsidRDefault="00321AF2">
      <w:pPr>
        <w:pStyle w:val="TOC1"/>
        <w:tabs>
          <w:tab w:val="right" w:leader="dot" w:pos="9016"/>
        </w:tabs>
        <w:rPr>
          <w:rFonts w:ascii="Times New Roman" w:eastAsiaTheme="minorEastAsia" w:hAnsi="Times New Roman" w:cs="Times New Roman"/>
          <w:b w:val="0"/>
          <w:bCs w:val="0"/>
          <w:noProof/>
          <w:sz w:val="24"/>
          <w:szCs w:val="24"/>
          <w:lang w:eastAsia="en-IN"/>
        </w:rPr>
      </w:pPr>
      <w:hyperlink w:anchor="_Toc173083639" w:history="1">
        <w:r w:rsidRPr="00321AF2">
          <w:rPr>
            <w:rStyle w:val="Hyperlink"/>
            <w:rFonts w:ascii="Times New Roman" w:hAnsi="Times New Roman" w:cs="Times New Roman"/>
            <w:b w:val="0"/>
            <w:bCs w:val="0"/>
            <w:noProof/>
            <w:sz w:val="24"/>
            <w:szCs w:val="24"/>
          </w:rPr>
          <w:t>Consequences</w:t>
        </w:r>
        <w:r w:rsidRPr="00321AF2">
          <w:rPr>
            <w:rFonts w:ascii="Times New Roman" w:hAnsi="Times New Roman" w:cs="Times New Roman"/>
            <w:b w:val="0"/>
            <w:bCs w:val="0"/>
            <w:noProof/>
            <w:webHidden/>
            <w:sz w:val="24"/>
            <w:szCs w:val="24"/>
          </w:rPr>
          <w:tab/>
        </w:r>
        <w:r w:rsidRPr="00321AF2">
          <w:rPr>
            <w:rFonts w:ascii="Times New Roman" w:hAnsi="Times New Roman" w:cs="Times New Roman"/>
            <w:b w:val="0"/>
            <w:bCs w:val="0"/>
            <w:noProof/>
            <w:webHidden/>
            <w:sz w:val="24"/>
            <w:szCs w:val="24"/>
          </w:rPr>
          <w:fldChar w:fldCharType="begin"/>
        </w:r>
        <w:r w:rsidRPr="00321AF2">
          <w:rPr>
            <w:rFonts w:ascii="Times New Roman" w:hAnsi="Times New Roman" w:cs="Times New Roman"/>
            <w:b w:val="0"/>
            <w:bCs w:val="0"/>
            <w:noProof/>
            <w:webHidden/>
            <w:sz w:val="24"/>
            <w:szCs w:val="24"/>
          </w:rPr>
          <w:instrText xml:space="preserve"> PAGEREF _Toc173083639 \h </w:instrText>
        </w:r>
        <w:r w:rsidRPr="00321AF2">
          <w:rPr>
            <w:rFonts w:ascii="Times New Roman" w:hAnsi="Times New Roman" w:cs="Times New Roman"/>
            <w:b w:val="0"/>
            <w:bCs w:val="0"/>
            <w:noProof/>
            <w:webHidden/>
            <w:sz w:val="24"/>
            <w:szCs w:val="24"/>
          </w:rPr>
        </w:r>
        <w:r w:rsidRPr="00321AF2">
          <w:rPr>
            <w:rFonts w:ascii="Times New Roman" w:hAnsi="Times New Roman" w:cs="Times New Roman"/>
            <w:b w:val="0"/>
            <w:bCs w:val="0"/>
            <w:noProof/>
            <w:webHidden/>
            <w:sz w:val="24"/>
            <w:szCs w:val="24"/>
          </w:rPr>
          <w:fldChar w:fldCharType="separate"/>
        </w:r>
        <w:r w:rsidR="000B53C0">
          <w:rPr>
            <w:rFonts w:ascii="Times New Roman" w:hAnsi="Times New Roman" w:cs="Times New Roman"/>
            <w:b w:val="0"/>
            <w:bCs w:val="0"/>
            <w:noProof/>
            <w:webHidden/>
            <w:sz w:val="24"/>
            <w:szCs w:val="24"/>
          </w:rPr>
          <w:t>4</w:t>
        </w:r>
        <w:r w:rsidRPr="00321AF2">
          <w:rPr>
            <w:rFonts w:ascii="Times New Roman" w:hAnsi="Times New Roman" w:cs="Times New Roman"/>
            <w:b w:val="0"/>
            <w:bCs w:val="0"/>
            <w:noProof/>
            <w:webHidden/>
            <w:sz w:val="24"/>
            <w:szCs w:val="24"/>
          </w:rPr>
          <w:fldChar w:fldCharType="end"/>
        </w:r>
      </w:hyperlink>
    </w:p>
    <w:p w14:paraId="52E2E7EB" w14:textId="692B1D22"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40" w:history="1">
        <w:r w:rsidRPr="00321AF2">
          <w:rPr>
            <w:rStyle w:val="Hyperlink"/>
            <w:rFonts w:ascii="Times New Roman" w:hAnsi="Times New Roman" w:cs="Times New Roman"/>
            <w:i w:val="0"/>
            <w:iCs w:val="0"/>
            <w:noProof/>
            <w:sz w:val="24"/>
            <w:szCs w:val="24"/>
          </w:rPr>
          <w:t>Impact on Consumers</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_Toc173083640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5</w:t>
        </w:r>
        <w:r w:rsidRPr="00321AF2">
          <w:rPr>
            <w:rFonts w:ascii="Times New Roman" w:hAnsi="Times New Roman" w:cs="Times New Roman"/>
            <w:i w:val="0"/>
            <w:iCs w:val="0"/>
            <w:noProof/>
            <w:webHidden/>
            <w:sz w:val="24"/>
            <w:szCs w:val="24"/>
          </w:rPr>
          <w:fldChar w:fldCharType="end"/>
        </w:r>
      </w:hyperlink>
    </w:p>
    <w:p w14:paraId="65E8081F" w14:textId="297C4249"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41" w:history="1">
        <w:r w:rsidRPr="00321AF2">
          <w:rPr>
            <w:rStyle w:val="Hyperlink"/>
            <w:rFonts w:ascii="Times New Roman" w:hAnsi="Times New Roman" w:cs="Times New Roman"/>
            <w:i w:val="0"/>
            <w:iCs w:val="0"/>
            <w:noProof/>
            <w:sz w:val="24"/>
            <w:szCs w:val="24"/>
          </w:rPr>
          <w:t>Impact on the Organization</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_Toc173083641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5</w:t>
        </w:r>
        <w:r w:rsidRPr="00321AF2">
          <w:rPr>
            <w:rFonts w:ascii="Times New Roman" w:hAnsi="Times New Roman" w:cs="Times New Roman"/>
            <w:i w:val="0"/>
            <w:iCs w:val="0"/>
            <w:noProof/>
            <w:webHidden/>
            <w:sz w:val="24"/>
            <w:szCs w:val="24"/>
          </w:rPr>
          <w:fldChar w:fldCharType="end"/>
        </w:r>
      </w:hyperlink>
    </w:p>
    <w:p w14:paraId="118C80BB" w14:textId="07E53085"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42" w:history="1">
        <w:r w:rsidRPr="00321AF2">
          <w:rPr>
            <w:rStyle w:val="Hyperlink"/>
            <w:rFonts w:ascii="Times New Roman" w:hAnsi="Times New Roman" w:cs="Times New Roman"/>
            <w:i w:val="0"/>
            <w:iCs w:val="0"/>
            <w:noProof/>
            <w:sz w:val="24"/>
            <w:szCs w:val="24"/>
          </w:rPr>
          <w:t>Brand Damage</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_Toc173083642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5</w:t>
        </w:r>
        <w:r w:rsidRPr="00321AF2">
          <w:rPr>
            <w:rFonts w:ascii="Times New Roman" w:hAnsi="Times New Roman" w:cs="Times New Roman"/>
            <w:i w:val="0"/>
            <w:iCs w:val="0"/>
            <w:noProof/>
            <w:webHidden/>
            <w:sz w:val="24"/>
            <w:szCs w:val="24"/>
          </w:rPr>
          <w:fldChar w:fldCharType="end"/>
        </w:r>
      </w:hyperlink>
    </w:p>
    <w:p w14:paraId="563335E3" w14:textId="06487F2C"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43" w:history="1">
        <w:r w:rsidRPr="00321AF2">
          <w:rPr>
            <w:rStyle w:val="Hyperlink"/>
            <w:rFonts w:ascii="Times New Roman" w:hAnsi="Times New Roman" w:cs="Times New Roman"/>
            <w:i w:val="0"/>
            <w:iCs w:val="0"/>
            <w:noProof/>
            <w:sz w:val="24"/>
            <w:szCs w:val="24"/>
          </w:rPr>
          <w:t>Legal and Financial Penalties</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_Toc173083643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5</w:t>
        </w:r>
        <w:r w:rsidRPr="00321AF2">
          <w:rPr>
            <w:rFonts w:ascii="Times New Roman" w:hAnsi="Times New Roman" w:cs="Times New Roman"/>
            <w:i w:val="0"/>
            <w:iCs w:val="0"/>
            <w:noProof/>
            <w:webHidden/>
            <w:sz w:val="24"/>
            <w:szCs w:val="24"/>
          </w:rPr>
          <w:fldChar w:fldCharType="end"/>
        </w:r>
      </w:hyperlink>
    </w:p>
    <w:p w14:paraId="05A728E6" w14:textId="01E64E15"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44" w:history="1">
        <w:r w:rsidRPr="00321AF2">
          <w:rPr>
            <w:rStyle w:val="Hyperlink"/>
            <w:rFonts w:ascii="Times New Roman" w:hAnsi="Times New Roman" w:cs="Times New Roman"/>
            <w:i w:val="0"/>
            <w:iCs w:val="0"/>
            <w:noProof/>
            <w:sz w:val="24"/>
            <w:szCs w:val="24"/>
          </w:rPr>
          <w:t>Long-Term Consequences</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_Toc173083644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6</w:t>
        </w:r>
        <w:r w:rsidRPr="00321AF2">
          <w:rPr>
            <w:rFonts w:ascii="Times New Roman" w:hAnsi="Times New Roman" w:cs="Times New Roman"/>
            <w:i w:val="0"/>
            <w:iCs w:val="0"/>
            <w:noProof/>
            <w:webHidden/>
            <w:sz w:val="24"/>
            <w:szCs w:val="24"/>
          </w:rPr>
          <w:fldChar w:fldCharType="end"/>
        </w:r>
      </w:hyperlink>
    </w:p>
    <w:p w14:paraId="78D8B473" w14:textId="7ECB8F00" w:rsidR="00321AF2" w:rsidRPr="00321AF2" w:rsidRDefault="00321AF2">
      <w:pPr>
        <w:pStyle w:val="TOC1"/>
        <w:tabs>
          <w:tab w:val="right" w:leader="dot" w:pos="9016"/>
        </w:tabs>
        <w:rPr>
          <w:rFonts w:ascii="Times New Roman" w:eastAsiaTheme="minorEastAsia" w:hAnsi="Times New Roman" w:cs="Times New Roman"/>
          <w:b w:val="0"/>
          <w:bCs w:val="0"/>
          <w:noProof/>
          <w:sz w:val="24"/>
          <w:szCs w:val="24"/>
          <w:lang w:eastAsia="en-IN"/>
        </w:rPr>
      </w:pPr>
      <w:hyperlink w:anchor="_Toc173083645" w:history="1">
        <w:r w:rsidRPr="00321AF2">
          <w:rPr>
            <w:rStyle w:val="Hyperlink"/>
            <w:rFonts w:ascii="Times New Roman" w:hAnsi="Times New Roman" w:cs="Times New Roman"/>
            <w:b w:val="0"/>
            <w:bCs w:val="0"/>
            <w:noProof/>
            <w:sz w:val="24"/>
            <w:szCs w:val="24"/>
          </w:rPr>
          <w:t>Legislation</w:t>
        </w:r>
        <w:r w:rsidRPr="00321AF2">
          <w:rPr>
            <w:rFonts w:ascii="Times New Roman" w:hAnsi="Times New Roman" w:cs="Times New Roman"/>
            <w:b w:val="0"/>
            <w:bCs w:val="0"/>
            <w:noProof/>
            <w:webHidden/>
            <w:sz w:val="24"/>
            <w:szCs w:val="24"/>
          </w:rPr>
          <w:tab/>
        </w:r>
        <w:r w:rsidRPr="00321AF2">
          <w:rPr>
            <w:rFonts w:ascii="Times New Roman" w:hAnsi="Times New Roman" w:cs="Times New Roman"/>
            <w:b w:val="0"/>
            <w:bCs w:val="0"/>
            <w:noProof/>
            <w:webHidden/>
            <w:sz w:val="24"/>
            <w:szCs w:val="24"/>
          </w:rPr>
          <w:fldChar w:fldCharType="begin"/>
        </w:r>
        <w:r w:rsidRPr="00321AF2">
          <w:rPr>
            <w:rFonts w:ascii="Times New Roman" w:hAnsi="Times New Roman" w:cs="Times New Roman"/>
            <w:b w:val="0"/>
            <w:bCs w:val="0"/>
            <w:noProof/>
            <w:webHidden/>
            <w:sz w:val="24"/>
            <w:szCs w:val="24"/>
          </w:rPr>
          <w:instrText xml:space="preserve"> PAGEREF _Toc173083645 \h </w:instrText>
        </w:r>
        <w:r w:rsidRPr="00321AF2">
          <w:rPr>
            <w:rFonts w:ascii="Times New Roman" w:hAnsi="Times New Roman" w:cs="Times New Roman"/>
            <w:b w:val="0"/>
            <w:bCs w:val="0"/>
            <w:noProof/>
            <w:webHidden/>
            <w:sz w:val="24"/>
            <w:szCs w:val="24"/>
          </w:rPr>
        </w:r>
        <w:r w:rsidRPr="00321AF2">
          <w:rPr>
            <w:rFonts w:ascii="Times New Roman" w:hAnsi="Times New Roman" w:cs="Times New Roman"/>
            <w:b w:val="0"/>
            <w:bCs w:val="0"/>
            <w:noProof/>
            <w:webHidden/>
            <w:sz w:val="24"/>
            <w:szCs w:val="24"/>
          </w:rPr>
          <w:fldChar w:fldCharType="separate"/>
        </w:r>
        <w:r w:rsidR="000B53C0">
          <w:rPr>
            <w:rFonts w:ascii="Times New Roman" w:hAnsi="Times New Roman" w:cs="Times New Roman"/>
            <w:b w:val="0"/>
            <w:bCs w:val="0"/>
            <w:noProof/>
            <w:webHidden/>
            <w:sz w:val="24"/>
            <w:szCs w:val="24"/>
          </w:rPr>
          <w:t>6</w:t>
        </w:r>
        <w:r w:rsidRPr="00321AF2">
          <w:rPr>
            <w:rFonts w:ascii="Times New Roman" w:hAnsi="Times New Roman" w:cs="Times New Roman"/>
            <w:b w:val="0"/>
            <w:bCs w:val="0"/>
            <w:noProof/>
            <w:webHidden/>
            <w:sz w:val="24"/>
            <w:szCs w:val="24"/>
          </w:rPr>
          <w:fldChar w:fldCharType="end"/>
        </w:r>
      </w:hyperlink>
    </w:p>
    <w:p w14:paraId="2C8FA91F" w14:textId="63DDA784"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46" w:history="1">
        <w:r w:rsidRPr="00321AF2">
          <w:rPr>
            <w:rStyle w:val="Hyperlink"/>
            <w:rFonts w:ascii="Times New Roman" w:hAnsi="Times New Roman" w:cs="Times New Roman"/>
            <w:i w:val="0"/>
            <w:iCs w:val="0"/>
            <w:noProof/>
            <w:sz w:val="24"/>
            <w:szCs w:val="24"/>
          </w:rPr>
          <w:t>Pre-Breach Legislative and Regulatory Environment</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_Toc173083646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7</w:t>
        </w:r>
        <w:r w:rsidRPr="00321AF2">
          <w:rPr>
            <w:rFonts w:ascii="Times New Roman" w:hAnsi="Times New Roman" w:cs="Times New Roman"/>
            <w:i w:val="0"/>
            <w:iCs w:val="0"/>
            <w:noProof/>
            <w:webHidden/>
            <w:sz w:val="24"/>
            <w:szCs w:val="24"/>
          </w:rPr>
          <w:fldChar w:fldCharType="end"/>
        </w:r>
      </w:hyperlink>
    </w:p>
    <w:p w14:paraId="1E57E228" w14:textId="76809F6C"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47" w:history="1">
        <w:r w:rsidRPr="00321AF2">
          <w:rPr>
            <w:rStyle w:val="Hyperlink"/>
            <w:rFonts w:ascii="Times New Roman" w:hAnsi="Times New Roman" w:cs="Times New Roman"/>
            <w:i w:val="0"/>
            <w:iCs w:val="0"/>
            <w:noProof/>
            <w:sz w:val="24"/>
            <w:szCs w:val="24"/>
          </w:rPr>
          <w:t>Post-Breach Legislative and Regulatory Environment</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_Toc173083647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7</w:t>
        </w:r>
        <w:r w:rsidRPr="00321AF2">
          <w:rPr>
            <w:rFonts w:ascii="Times New Roman" w:hAnsi="Times New Roman" w:cs="Times New Roman"/>
            <w:i w:val="0"/>
            <w:iCs w:val="0"/>
            <w:noProof/>
            <w:webHidden/>
            <w:sz w:val="24"/>
            <w:szCs w:val="24"/>
          </w:rPr>
          <w:fldChar w:fldCharType="end"/>
        </w:r>
      </w:hyperlink>
    </w:p>
    <w:p w14:paraId="2C8BCE7B" w14:textId="67994C78"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48" w:history="1">
        <w:r w:rsidRPr="00321AF2">
          <w:rPr>
            <w:rStyle w:val="Hyperlink"/>
            <w:rFonts w:ascii="Times New Roman" w:hAnsi="Times New Roman" w:cs="Times New Roman"/>
            <w:i w:val="0"/>
            <w:iCs w:val="0"/>
            <w:noProof/>
            <w:sz w:val="24"/>
            <w:szCs w:val="24"/>
          </w:rPr>
          <w:t>Conclusion</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_Toc173083648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8</w:t>
        </w:r>
        <w:r w:rsidRPr="00321AF2">
          <w:rPr>
            <w:rFonts w:ascii="Times New Roman" w:hAnsi="Times New Roman" w:cs="Times New Roman"/>
            <w:i w:val="0"/>
            <w:iCs w:val="0"/>
            <w:noProof/>
            <w:webHidden/>
            <w:sz w:val="24"/>
            <w:szCs w:val="24"/>
          </w:rPr>
          <w:fldChar w:fldCharType="end"/>
        </w:r>
      </w:hyperlink>
    </w:p>
    <w:p w14:paraId="0A7D1622" w14:textId="44897CEA" w:rsidR="00321AF2" w:rsidRPr="00321AF2" w:rsidRDefault="00321AF2">
      <w:pPr>
        <w:pStyle w:val="TOC1"/>
        <w:tabs>
          <w:tab w:val="right" w:leader="dot" w:pos="9016"/>
        </w:tabs>
        <w:rPr>
          <w:rFonts w:ascii="Times New Roman" w:eastAsiaTheme="minorEastAsia" w:hAnsi="Times New Roman" w:cs="Times New Roman"/>
          <w:b w:val="0"/>
          <w:bCs w:val="0"/>
          <w:noProof/>
          <w:sz w:val="24"/>
          <w:szCs w:val="24"/>
          <w:lang w:eastAsia="en-IN"/>
        </w:rPr>
      </w:pPr>
      <w:hyperlink w:anchor="_Toc173083649" w:history="1">
        <w:r w:rsidRPr="00321AF2">
          <w:rPr>
            <w:rStyle w:val="Hyperlink"/>
            <w:rFonts w:ascii="Times New Roman" w:hAnsi="Times New Roman" w:cs="Times New Roman"/>
            <w:b w:val="0"/>
            <w:bCs w:val="0"/>
            <w:noProof/>
            <w:sz w:val="24"/>
            <w:szCs w:val="24"/>
          </w:rPr>
          <w:t>Analysis</w:t>
        </w:r>
        <w:r w:rsidRPr="00321AF2">
          <w:rPr>
            <w:rFonts w:ascii="Times New Roman" w:hAnsi="Times New Roman" w:cs="Times New Roman"/>
            <w:b w:val="0"/>
            <w:bCs w:val="0"/>
            <w:noProof/>
            <w:webHidden/>
            <w:sz w:val="24"/>
            <w:szCs w:val="24"/>
          </w:rPr>
          <w:tab/>
        </w:r>
        <w:r w:rsidRPr="00321AF2">
          <w:rPr>
            <w:rFonts w:ascii="Times New Roman" w:hAnsi="Times New Roman" w:cs="Times New Roman"/>
            <w:b w:val="0"/>
            <w:bCs w:val="0"/>
            <w:noProof/>
            <w:webHidden/>
            <w:sz w:val="24"/>
            <w:szCs w:val="24"/>
          </w:rPr>
          <w:fldChar w:fldCharType="begin"/>
        </w:r>
        <w:r w:rsidRPr="00321AF2">
          <w:rPr>
            <w:rFonts w:ascii="Times New Roman" w:hAnsi="Times New Roman" w:cs="Times New Roman"/>
            <w:b w:val="0"/>
            <w:bCs w:val="0"/>
            <w:noProof/>
            <w:webHidden/>
            <w:sz w:val="24"/>
            <w:szCs w:val="24"/>
          </w:rPr>
          <w:instrText xml:space="preserve"> PAGEREF _Toc173083649 \h </w:instrText>
        </w:r>
        <w:r w:rsidRPr="00321AF2">
          <w:rPr>
            <w:rFonts w:ascii="Times New Roman" w:hAnsi="Times New Roman" w:cs="Times New Roman"/>
            <w:b w:val="0"/>
            <w:bCs w:val="0"/>
            <w:noProof/>
            <w:webHidden/>
            <w:sz w:val="24"/>
            <w:szCs w:val="24"/>
          </w:rPr>
        </w:r>
        <w:r w:rsidRPr="00321AF2">
          <w:rPr>
            <w:rFonts w:ascii="Times New Roman" w:hAnsi="Times New Roman" w:cs="Times New Roman"/>
            <w:b w:val="0"/>
            <w:bCs w:val="0"/>
            <w:noProof/>
            <w:webHidden/>
            <w:sz w:val="24"/>
            <w:szCs w:val="24"/>
          </w:rPr>
          <w:fldChar w:fldCharType="separate"/>
        </w:r>
        <w:r w:rsidR="000B53C0">
          <w:rPr>
            <w:rFonts w:ascii="Times New Roman" w:hAnsi="Times New Roman" w:cs="Times New Roman"/>
            <w:b w:val="0"/>
            <w:bCs w:val="0"/>
            <w:noProof/>
            <w:webHidden/>
            <w:sz w:val="24"/>
            <w:szCs w:val="24"/>
          </w:rPr>
          <w:t>8</w:t>
        </w:r>
        <w:r w:rsidRPr="00321AF2">
          <w:rPr>
            <w:rFonts w:ascii="Times New Roman" w:hAnsi="Times New Roman" w:cs="Times New Roman"/>
            <w:b w:val="0"/>
            <w:bCs w:val="0"/>
            <w:noProof/>
            <w:webHidden/>
            <w:sz w:val="24"/>
            <w:szCs w:val="24"/>
          </w:rPr>
          <w:fldChar w:fldCharType="end"/>
        </w:r>
      </w:hyperlink>
    </w:p>
    <w:p w14:paraId="7BC6DAD5" w14:textId="6CEC7335" w:rsidR="00321AF2" w:rsidRPr="00321AF2" w:rsidRDefault="00321AF2">
      <w:pPr>
        <w:pStyle w:val="TOC1"/>
        <w:tabs>
          <w:tab w:val="right" w:leader="dot" w:pos="9016"/>
        </w:tabs>
        <w:rPr>
          <w:rFonts w:ascii="Times New Roman" w:eastAsiaTheme="minorEastAsia" w:hAnsi="Times New Roman" w:cs="Times New Roman"/>
          <w:b w:val="0"/>
          <w:bCs w:val="0"/>
          <w:noProof/>
          <w:sz w:val="24"/>
          <w:szCs w:val="24"/>
          <w:lang w:eastAsia="en-IN"/>
        </w:rPr>
      </w:pPr>
      <w:hyperlink w:anchor="_Toc173083650" w:history="1">
        <w:r w:rsidRPr="00321AF2">
          <w:rPr>
            <w:rStyle w:val="Hyperlink"/>
            <w:rFonts w:ascii="Times New Roman" w:hAnsi="Times New Roman" w:cs="Times New Roman"/>
            <w:b w:val="0"/>
            <w:bCs w:val="0"/>
            <w:noProof/>
            <w:sz w:val="24"/>
            <w:szCs w:val="24"/>
          </w:rPr>
          <w:t>Recommendations</w:t>
        </w:r>
        <w:r w:rsidRPr="00321AF2">
          <w:rPr>
            <w:rFonts w:ascii="Times New Roman" w:hAnsi="Times New Roman" w:cs="Times New Roman"/>
            <w:b w:val="0"/>
            <w:bCs w:val="0"/>
            <w:noProof/>
            <w:webHidden/>
            <w:sz w:val="24"/>
            <w:szCs w:val="24"/>
          </w:rPr>
          <w:tab/>
        </w:r>
        <w:r w:rsidRPr="00321AF2">
          <w:rPr>
            <w:rFonts w:ascii="Times New Roman" w:hAnsi="Times New Roman" w:cs="Times New Roman"/>
            <w:b w:val="0"/>
            <w:bCs w:val="0"/>
            <w:noProof/>
            <w:webHidden/>
            <w:sz w:val="24"/>
            <w:szCs w:val="24"/>
          </w:rPr>
          <w:fldChar w:fldCharType="begin"/>
        </w:r>
        <w:r w:rsidRPr="00321AF2">
          <w:rPr>
            <w:rFonts w:ascii="Times New Roman" w:hAnsi="Times New Roman" w:cs="Times New Roman"/>
            <w:b w:val="0"/>
            <w:bCs w:val="0"/>
            <w:noProof/>
            <w:webHidden/>
            <w:sz w:val="24"/>
            <w:szCs w:val="24"/>
          </w:rPr>
          <w:instrText xml:space="preserve"> PAGEREF _Toc173083650 \h </w:instrText>
        </w:r>
        <w:r w:rsidRPr="00321AF2">
          <w:rPr>
            <w:rFonts w:ascii="Times New Roman" w:hAnsi="Times New Roman" w:cs="Times New Roman"/>
            <w:b w:val="0"/>
            <w:bCs w:val="0"/>
            <w:noProof/>
            <w:webHidden/>
            <w:sz w:val="24"/>
            <w:szCs w:val="24"/>
          </w:rPr>
        </w:r>
        <w:r w:rsidRPr="00321AF2">
          <w:rPr>
            <w:rFonts w:ascii="Times New Roman" w:hAnsi="Times New Roman" w:cs="Times New Roman"/>
            <w:b w:val="0"/>
            <w:bCs w:val="0"/>
            <w:noProof/>
            <w:webHidden/>
            <w:sz w:val="24"/>
            <w:szCs w:val="24"/>
          </w:rPr>
          <w:fldChar w:fldCharType="separate"/>
        </w:r>
        <w:r w:rsidR="000B53C0">
          <w:rPr>
            <w:rFonts w:ascii="Times New Roman" w:hAnsi="Times New Roman" w:cs="Times New Roman"/>
            <w:b w:val="0"/>
            <w:bCs w:val="0"/>
            <w:noProof/>
            <w:webHidden/>
            <w:sz w:val="24"/>
            <w:szCs w:val="24"/>
          </w:rPr>
          <w:t>9</w:t>
        </w:r>
        <w:r w:rsidRPr="00321AF2">
          <w:rPr>
            <w:rFonts w:ascii="Times New Roman" w:hAnsi="Times New Roman" w:cs="Times New Roman"/>
            <w:b w:val="0"/>
            <w:bCs w:val="0"/>
            <w:noProof/>
            <w:webHidden/>
            <w:sz w:val="24"/>
            <w:szCs w:val="24"/>
          </w:rPr>
          <w:fldChar w:fldCharType="end"/>
        </w:r>
      </w:hyperlink>
    </w:p>
    <w:p w14:paraId="16C61E55" w14:textId="708EB7F0"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51" w:history="1">
        <w:r w:rsidRPr="00321AF2">
          <w:rPr>
            <w:rStyle w:val="Hyperlink"/>
            <w:rFonts w:ascii="Times New Roman" w:hAnsi="Times New Roman" w:cs="Times New Roman"/>
            <w:i w:val="0"/>
            <w:iCs w:val="0"/>
            <w:noProof/>
            <w:sz w:val="24"/>
            <w:szCs w:val="24"/>
          </w:rPr>
          <w:t>Policies</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_Toc173083651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9</w:t>
        </w:r>
        <w:r w:rsidRPr="00321AF2">
          <w:rPr>
            <w:rFonts w:ascii="Times New Roman" w:hAnsi="Times New Roman" w:cs="Times New Roman"/>
            <w:i w:val="0"/>
            <w:iCs w:val="0"/>
            <w:noProof/>
            <w:webHidden/>
            <w:sz w:val="24"/>
            <w:szCs w:val="24"/>
          </w:rPr>
          <w:fldChar w:fldCharType="end"/>
        </w:r>
      </w:hyperlink>
    </w:p>
    <w:p w14:paraId="49866D95" w14:textId="061FDF02"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52" w:history="1">
        <w:r w:rsidRPr="00321AF2">
          <w:rPr>
            <w:rStyle w:val="Hyperlink"/>
            <w:rFonts w:ascii="Times New Roman" w:hAnsi="Times New Roman" w:cs="Times New Roman"/>
            <w:i w:val="0"/>
            <w:iCs w:val="0"/>
            <w:noProof/>
            <w:sz w:val="24"/>
            <w:szCs w:val="24"/>
          </w:rPr>
          <w:t>Technology</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_Toc173083652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10</w:t>
        </w:r>
        <w:r w:rsidRPr="00321AF2">
          <w:rPr>
            <w:rFonts w:ascii="Times New Roman" w:hAnsi="Times New Roman" w:cs="Times New Roman"/>
            <w:i w:val="0"/>
            <w:iCs w:val="0"/>
            <w:noProof/>
            <w:webHidden/>
            <w:sz w:val="24"/>
            <w:szCs w:val="24"/>
          </w:rPr>
          <w:fldChar w:fldCharType="end"/>
        </w:r>
      </w:hyperlink>
    </w:p>
    <w:p w14:paraId="4526CAA4" w14:textId="14B8D097"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53" w:history="1">
        <w:r w:rsidRPr="00321AF2">
          <w:rPr>
            <w:rStyle w:val="Hyperlink"/>
            <w:rFonts w:ascii="Times New Roman" w:hAnsi="Times New Roman" w:cs="Times New Roman"/>
            <w:i w:val="0"/>
            <w:iCs w:val="0"/>
            <w:noProof/>
            <w:sz w:val="24"/>
            <w:szCs w:val="24"/>
          </w:rPr>
          <w:t>Oversight</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_Toc173083653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10</w:t>
        </w:r>
        <w:r w:rsidRPr="00321AF2">
          <w:rPr>
            <w:rFonts w:ascii="Times New Roman" w:hAnsi="Times New Roman" w:cs="Times New Roman"/>
            <w:i w:val="0"/>
            <w:iCs w:val="0"/>
            <w:noProof/>
            <w:webHidden/>
            <w:sz w:val="24"/>
            <w:szCs w:val="24"/>
          </w:rPr>
          <w:fldChar w:fldCharType="end"/>
        </w:r>
      </w:hyperlink>
    </w:p>
    <w:p w14:paraId="7C38C36D" w14:textId="1F0C2048" w:rsidR="00321AF2" w:rsidRPr="00321AF2" w:rsidRDefault="00321AF2">
      <w:pPr>
        <w:pStyle w:val="TOC2"/>
        <w:tabs>
          <w:tab w:val="right" w:leader="dot" w:pos="9016"/>
        </w:tabs>
        <w:rPr>
          <w:rFonts w:ascii="Times New Roman" w:eastAsiaTheme="minorEastAsia" w:hAnsi="Times New Roman" w:cs="Times New Roman"/>
          <w:i w:val="0"/>
          <w:iCs w:val="0"/>
          <w:noProof/>
          <w:sz w:val="24"/>
          <w:szCs w:val="24"/>
          <w:lang w:eastAsia="en-IN"/>
        </w:rPr>
      </w:pPr>
      <w:hyperlink w:anchor="_Toc173083654" w:history="1">
        <w:r w:rsidRPr="00321AF2">
          <w:rPr>
            <w:rStyle w:val="Hyperlink"/>
            <w:rFonts w:ascii="Times New Roman" w:hAnsi="Times New Roman" w:cs="Times New Roman"/>
            <w:i w:val="0"/>
            <w:iCs w:val="0"/>
            <w:noProof/>
            <w:sz w:val="24"/>
            <w:szCs w:val="24"/>
          </w:rPr>
          <w:t>Measuring Success and Emerging Risks</w:t>
        </w:r>
        <w:r w:rsidRPr="00321AF2">
          <w:rPr>
            <w:rFonts w:ascii="Times New Roman" w:hAnsi="Times New Roman" w:cs="Times New Roman"/>
            <w:i w:val="0"/>
            <w:iCs w:val="0"/>
            <w:noProof/>
            <w:webHidden/>
            <w:sz w:val="24"/>
            <w:szCs w:val="24"/>
          </w:rPr>
          <w:tab/>
        </w:r>
        <w:r w:rsidRPr="00321AF2">
          <w:rPr>
            <w:rFonts w:ascii="Times New Roman" w:hAnsi="Times New Roman" w:cs="Times New Roman"/>
            <w:i w:val="0"/>
            <w:iCs w:val="0"/>
            <w:noProof/>
            <w:webHidden/>
            <w:sz w:val="24"/>
            <w:szCs w:val="24"/>
          </w:rPr>
          <w:fldChar w:fldCharType="begin"/>
        </w:r>
        <w:r w:rsidRPr="00321AF2">
          <w:rPr>
            <w:rFonts w:ascii="Times New Roman" w:hAnsi="Times New Roman" w:cs="Times New Roman"/>
            <w:i w:val="0"/>
            <w:iCs w:val="0"/>
            <w:noProof/>
            <w:webHidden/>
            <w:sz w:val="24"/>
            <w:szCs w:val="24"/>
          </w:rPr>
          <w:instrText xml:space="preserve"> PAGEREF _Toc173083654 \h </w:instrText>
        </w:r>
        <w:r w:rsidRPr="00321AF2">
          <w:rPr>
            <w:rFonts w:ascii="Times New Roman" w:hAnsi="Times New Roman" w:cs="Times New Roman"/>
            <w:i w:val="0"/>
            <w:iCs w:val="0"/>
            <w:noProof/>
            <w:webHidden/>
            <w:sz w:val="24"/>
            <w:szCs w:val="24"/>
          </w:rPr>
        </w:r>
        <w:r w:rsidRPr="00321AF2">
          <w:rPr>
            <w:rFonts w:ascii="Times New Roman" w:hAnsi="Times New Roman" w:cs="Times New Roman"/>
            <w:i w:val="0"/>
            <w:iCs w:val="0"/>
            <w:noProof/>
            <w:webHidden/>
            <w:sz w:val="24"/>
            <w:szCs w:val="24"/>
          </w:rPr>
          <w:fldChar w:fldCharType="separate"/>
        </w:r>
        <w:r w:rsidR="000B53C0">
          <w:rPr>
            <w:rFonts w:ascii="Times New Roman" w:hAnsi="Times New Roman" w:cs="Times New Roman"/>
            <w:i w:val="0"/>
            <w:iCs w:val="0"/>
            <w:noProof/>
            <w:webHidden/>
            <w:sz w:val="24"/>
            <w:szCs w:val="24"/>
          </w:rPr>
          <w:t>10</w:t>
        </w:r>
        <w:r w:rsidRPr="00321AF2">
          <w:rPr>
            <w:rFonts w:ascii="Times New Roman" w:hAnsi="Times New Roman" w:cs="Times New Roman"/>
            <w:i w:val="0"/>
            <w:iCs w:val="0"/>
            <w:noProof/>
            <w:webHidden/>
            <w:sz w:val="24"/>
            <w:szCs w:val="24"/>
          </w:rPr>
          <w:fldChar w:fldCharType="end"/>
        </w:r>
      </w:hyperlink>
    </w:p>
    <w:p w14:paraId="28AE223D" w14:textId="26601EFF" w:rsidR="00321AF2" w:rsidRPr="00321AF2" w:rsidRDefault="00321AF2">
      <w:pPr>
        <w:pStyle w:val="TOC1"/>
        <w:tabs>
          <w:tab w:val="right" w:leader="dot" w:pos="9016"/>
        </w:tabs>
        <w:rPr>
          <w:rFonts w:ascii="Times New Roman" w:eastAsiaTheme="minorEastAsia" w:hAnsi="Times New Roman" w:cs="Times New Roman"/>
          <w:b w:val="0"/>
          <w:bCs w:val="0"/>
          <w:noProof/>
          <w:sz w:val="24"/>
          <w:szCs w:val="24"/>
          <w:lang w:eastAsia="en-IN"/>
        </w:rPr>
      </w:pPr>
      <w:hyperlink w:anchor="_Toc173083655" w:history="1">
        <w:r w:rsidRPr="00321AF2">
          <w:rPr>
            <w:rStyle w:val="Hyperlink"/>
            <w:rFonts w:ascii="Times New Roman" w:hAnsi="Times New Roman" w:cs="Times New Roman"/>
            <w:b w:val="0"/>
            <w:bCs w:val="0"/>
            <w:noProof/>
            <w:sz w:val="24"/>
            <w:szCs w:val="24"/>
          </w:rPr>
          <w:t>References</w:t>
        </w:r>
        <w:r w:rsidRPr="00321AF2">
          <w:rPr>
            <w:rFonts w:ascii="Times New Roman" w:hAnsi="Times New Roman" w:cs="Times New Roman"/>
            <w:b w:val="0"/>
            <w:bCs w:val="0"/>
            <w:noProof/>
            <w:webHidden/>
            <w:sz w:val="24"/>
            <w:szCs w:val="24"/>
          </w:rPr>
          <w:tab/>
        </w:r>
        <w:r w:rsidRPr="00321AF2">
          <w:rPr>
            <w:rFonts w:ascii="Times New Roman" w:hAnsi="Times New Roman" w:cs="Times New Roman"/>
            <w:b w:val="0"/>
            <w:bCs w:val="0"/>
            <w:noProof/>
            <w:webHidden/>
            <w:sz w:val="24"/>
            <w:szCs w:val="24"/>
          </w:rPr>
          <w:fldChar w:fldCharType="begin"/>
        </w:r>
        <w:r w:rsidRPr="00321AF2">
          <w:rPr>
            <w:rFonts w:ascii="Times New Roman" w:hAnsi="Times New Roman" w:cs="Times New Roman"/>
            <w:b w:val="0"/>
            <w:bCs w:val="0"/>
            <w:noProof/>
            <w:webHidden/>
            <w:sz w:val="24"/>
            <w:szCs w:val="24"/>
          </w:rPr>
          <w:instrText xml:space="preserve"> PAGEREF _Toc173083655 \h </w:instrText>
        </w:r>
        <w:r w:rsidRPr="00321AF2">
          <w:rPr>
            <w:rFonts w:ascii="Times New Roman" w:hAnsi="Times New Roman" w:cs="Times New Roman"/>
            <w:b w:val="0"/>
            <w:bCs w:val="0"/>
            <w:noProof/>
            <w:webHidden/>
            <w:sz w:val="24"/>
            <w:szCs w:val="24"/>
          </w:rPr>
        </w:r>
        <w:r w:rsidRPr="00321AF2">
          <w:rPr>
            <w:rFonts w:ascii="Times New Roman" w:hAnsi="Times New Roman" w:cs="Times New Roman"/>
            <w:b w:val="0"/>
            <w:bCs w:val="0"/>
            <w:noProof/>
            <w:webHidden/>
            <w:sz w:val="24"/>
            <w:szCs w:val="24"/>
          </w:rPr>
          <w:fldChar w:fldCharType="separate"/>
        </w:r>
        <w:r w:rsidR="000B53C0">
          <w:rPr>
            <w:rFonts w:ascii="Times New Roman" w:hAnsi="Times New Roman" w:cs="Times New Roman"/>
            <w:b w:val="0"/>
            <w:bCs w:val="0"/>
            <w:noProof/>
            <w:webHidden/>
            <w:sz w:val="24"/>
            <w:szCs w:val="24"/>
          </w:rPr>
          <w:t>12</w:t>
        </w:r>
        <w:r w:rsidRPr="00321AF2">
          <w:rPr>
            <w:rFonts w:ascii="Times New Roman" w:hAnsi="Times New Roman" w:cs="Times New Roman"/>
            <w:b w:val="0"/>
            <w:bCs w:val="0"/>
            <w:noProof/>
            <w:webHidden/>
            <w:sz w:val="24"/>
            <w:szCs w:val="24"/>
          </w:rPr>
          <w:fldChar w:fldCharType="end"/>
        </w:r>
      </w:hyperlink>
    </w:p>
    <w:p w14:paraId="3B643888" w14:textId="06AD05E8" w:rsidR="00321AF2" w:rsidRPr="00321AF2" w:rsidRDefault="00321AF2">
      <w:pPr>
        <w:pStyle w:val="TOC1"/>
        <w:tabs>
          <w:tab w:val="right" w:leader="dot" w:pos="9016"/>
        </w:tabs>
        <w:rPr>
          <w:rFonts w:ascii="Times New Roman" w:eastAsiaTheme="minorEastAsia" w:hAnsi="Times New Roman" w:cs="Times New Roman"/>
          <w:b w:val="0"/>
          <w:bCs w:val="0"/>
          <w:noProof/>
          <w:sz w:val="24"/>
          <w:szCs w:val="24"/>
          <w:lang w:eastAsia="en-IN"/>
        </w:rPr>
      </w:pPr>
      <w:hyperlink w:anchor="_Toc173083656" w:history="1">
        <w:r w:rsidRPr="00321AF2">
          <w:rPr>
            <w:rStyle w:val="Hyperlink"/>
            <w:rFonts w:ascii="Times New Roman" w:hAnsi="Times New Roman" w:cs="Times New Roman"/>
            <w:b w:val="0"/>
            <w:bCs w:val="0"/>
            <w:noProof/>
            <w:sz w:val="24"/>
            <w:szCs w:val="24"/>
          </w:rPr>
          <w:t>Teamwork</w:t>
        </w:r>
        <w:r w:rsidRPr="00321AF2">
          <w:rPr>
            <w:rFonts w:ascii="Times New Roman" w:hAnsi="Times New Roman" w:cs="Times New Roman"/>
            <w:b w:val="0"/>
            <w:bCs w:val="0"/>
            <w:noProof/>
            <w:webHidden/>
            <w:sz w:val="24"/>
            <w:szCs w:val="24"/>
          </w:rPr>
          <w:tab/>
        </w:r>
        <w:r w:rsidRPr="00321AF2">
          <w:rPr>
            <w:rFonts w:ascii="Times New Roman" w:hAnsi="Times New Roman" w:cs="Times New Roman"/>
            <w:b w:val="0"/>
            <w:bCs w:val="0"/>
            <w:noProof/>
            <w:webHidden/>
            <w:sz w:val="24"/>
            <w:szCs w:val="24"/>
          </w:rPr>
          <w:fldChar w:fldCharType="begin"/>
        </w:r>
        <w:r w:rsidRPr="00321AF2">
          <w:rPr>
            <w:rFonts w:ascii="Times New Roman" w:hAnsi="Times New Roman" w:cs="Times New Roman"/>
            <w:b w:val="0"/>
            <w:bCs w:val="0"/>
            <w:noProof/>
            <w:webHidden/>
            <w:sz w:val="24"/>
            <w:szCs w:val="24"/>
          </w:rPr>
          <w:instrText xml:space="preserve"> PAGEREF _Toc173083656 \h </w:instrText>
        </w:r>
        <w:r w:rsidRPr="00321AF2">
          <w:rPr>
            <w:rFonts w:ascii="Times New Roman" w:hAnsi="Times New Roman" w:cs="Times New Roman"/>
            <w:b w:val="0"/>
            <w:bCs w:val="0"/>
            <w:noProof/>
            <w:webHidden/>
            <w:sz w:val="24"/>
            <w:szCs w:val="24"/>
          </w:rPr>
        </w:r>
        <w:r w:rsidRPr="00321AF2">
          <w:rPr>
            <w:rFonts w:ascii="Times New Roman" w:hAnsi="Times New Roman" w:cs="Times New Roman"/>
            <w:b w:val="0"/>
            <w:bCs w:val="0"/>
            <w:noProof/>
            <w:webHidden/>
            <w:sz w:val="24"/>
            <w:szCs w:val="24"/>
          </w:rPr>
          <w:fldChar w:fldCharType="separate"/>
        </w:r>
        <w:r w:rsidR="000B53C0">
          <w:rPr>
            <w:rFonts w:ascii="Times New Roman" w:hAnsi="Times New Roman" w:cs="Times New Roman"/>
            <w:b w:val="0"/>
            <w:bCs w:val="0"/>
            <w:noProof/>
            <w:webHidden/>
            <w:sz w:val="24"/>
            <w:szCs w:val="24"/>
          </w:rPr>
          <w:t>13</w:t>
        </w:r>
        <w:r w:rsidRPr="00321AF2">
          <w:rPr>
            <w:rFonts w:ascii="Times New Roman" w:hAnsi="Times New Roman" w:cs="Times New Roman"/>
            <w:b w:val="0"/>
            <w:bCs w:val="0"/>
            <w:noProof/>
            <w:webHidden/>
            <w:sz w:val="24"/>
            <w:szCs w:val="24"/>
          </w:rPr>
          <w:fldChar w:fldCharType="end"/>
        </w:r>
      </w:hyperlink>
    </w:p>
    <w:p w14:paraId="5AA752CB" w14:textId="0ED97FFE" w:rsidR="009D4ED7" w:rsidRPr="00321AF2" w:rsidRDefault="005D0512" w:rsidP="00A13A5C">
      <w:pPr>
        <w:pStyle w:val="Head1"/>
        <w:tabs>
          <w:tab w:val="left" w:pos="2491"/>
        </w:tabs>
        <w:spacing w:line="480" w:lineRule="auto"/>
        <w:rPr>
          <w:b w:val="0"/>
        </w:rPr>
      </w:pPr>
      <w:r w:rsidRPr="00321AF2">
        <w:rPr>
          <w:rFonts w:eastAsiaTheme="minorHAnsi"/>
          <w:b w:val="0"/>
          <w:caps/>
          <w:color w:val="auto"/>
          <w:kern w:val="2"/>
          <w:lang w:eastAsia="en-US"/>
          <w14:ligatures w14:val="standardContextual"/>
        </w:rPr>
        <w:fldChar w:fldCharType="end"/>
      </w:r>
      <w:r w:rsidR="006C2FF1" w:rsidRPr="00321AF2">
        <w:rPr>
          <w:rFonts w:eastAsiaTheme="minorHAnsi"/>
          <w:b w:val="0"/>
          <w:caps/>
          <w:color w:val="auto"/>
          <w:kern w:val="2"/>
          <w:lang w:eastAsia="en-US"/>
          <w14:ligatures w14:val="standardContextual"/>
        </w:rPr>
        <w:tab/>
      </w:r>
    </w:p>
    <w:p w14:paraId="15435DD4" w14:textId="77777777" w:rsidR="009D4ED7" w:rsidRPr="00321AF2" w:rsidRDefault="009D4ED7" w:rsidP="009D4ED7">
      <w:pPr>
        <w:pStyle w:val="Head1"/>
        <w:rPr>
          <w:b w:val="0"/>
          <w:bCs/>
        </w:rPr>
      </w:pPr>
    </w:p>
    <w:p w14:paraId="133C07B9" w14:textId="5F6DCCF7" w:rsidR="002836D5" w:rsidRPr="00321AF2" w:rsidRDefault="00560B92" w:rsidP="00560B92">
      <w:pPr>
        <w:pStyle w:val="Head1"/>
        <w:tabs>
          <w:tab w:val="left" w:pos="3710"/>
        </w:tabs>
        <w:rPr>
          <w:b w:val="0"/>
          <w:bCs/>
        </w:rPr>
      </w:pPr>
      <w:r w:rsidRPr="00321AF2">
        <w:rPr>
          <w:b w:val="0"/>
          <w:bCs/>
        </w:rPr>
        <w:tab/>
      </w:r>
    </w:p>
    <w:p w14:paraId="1EF0F1D1" w14:textId="77777777" w:rsidR="002836D5" w:rsidRPr="00321AF2" w:rsidRDefault="002836D5" w:rsidP="009D4ED7">
      <w:pPr>
        <w:pStyle w:val="Head1"/>
        <w:rPr>
          <w:b w:val="0"/>
          <w:bCs/>
        </w:rPr>
      </w:pPr>
    </w:p>
    <w:p w14:paraId="7F09558E" w14:textId="77777777" w:rsidR="002836D5" w:rsidRPr="00321AF2" w:rsidRDefault="002836D5" w:rsidP="009D4ED7">
      <w:pPr>
        <w:pStyle w:val="Head1"/>
        <w:rPr>
          <w:b w:val="0"/>
          <w:bCs/>
        </w:rPr>
      </w:pPr>
    </w:p>
    <w:p w14:paraId="67DD4B54" w14:textId="77777777" w:rsidR="009D4ED7" w:rsidRPr="00321AF2" w:rsidRDefault="009D4ED7" w:rsidP="009D4ED7">
      <w:pPr>
        <w:pStyle w:val="Head1"/>
        <w:rPr>
          <w:b w:val="0"/>
          <w:bCs/>
        </w:rPr>
      </w:pPr>
    </w:p>
    <w:p w14:paraId="1CFFDD42" w14:textId="77777777" w:rsidR="009D4ED7" w:rsidRPr="00321AF2" w:rsidRDefault="009D4ED7" w:rsidP="009D4ED7">
      <w:pPr>
        <w:pStyle w:val="Head1"/>
        <w:rPr>
          <w:bCs/>
        </w:rPr>
      </w:pPr>
    </w:p>
    <w:p w14:paraId="29C6A7E6" w14:textId="77777777" w:rsidR="005D0512" w:rsidRPr="00321AF2" w:rsidRDefault="005D0512" w:rsidP="005D0512">
      <w:pPr>
        <w:pStyle w:val="Head1"/>
      </w:pPr>
      <w:bookmarkStart w:id="0" w:name="_Toc173083635"/>
      <w:r w:rsidRPr="00321AF2">
        <w:t>Introduction</w:t>
      </w:r>
      <w:bookmarkEnd w:id="0"/>
    </w:p>
    <w:p w14:paraId="4523FC3E" w14:textId="77777777"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t xml:space="preserve">In the years leading up to the breach, Equifax struggled with outdated cybersecurity policies and instruments. These challenges set the stage for one of the most significant and damaging data breaches in history. The Equifax data breach, which occurred in 2017, exposed the sensitive personal information of approximately 147 million individuals, including names, Social Security numbers, birth dates, addresses, and credit card details. This breach highlighted not only the vulnerabilities in Equifax's security infrastructure but also systemic issues within its cybersecurity policies and management. </w:t>
      </w:r>
    </w:p>
    <w:p w14:paraId="1090C0A0" w14:textId="77777777" w:rsidR="005D0512" w:rsidRPr="00321AF2" w:rsidRDefault="005D0512" w:rsidP="005D0512">
      <w:pPr>
        <w:pStyle w:val="Head2"/>
      </w:pPr>
      <w:bookmarkStart w:id="1" w:name="_Toc173083636"/>
      <w:r w:rsidRPr="00321AF2">
        <w:t>Background and History</w:t>
      </w:r>
      <w:bookmarkEnd w:id="1"/>
    </w:p>
    <w:p w14:paraId="1C3A7565" w14:textId="77777777"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t>Equifax, founded in 1899, is one of the three major credit reporting agencies in the United States, along with Experian and TransUnion. The company provides data, analytics, and technology services to organizations and individuals, holding sensitive personal and financial information of millions of people. As a custodian of such valuable data, Equifax was expected to maintain robust cybersecurity measures. However, internal audits and subsequent events revealed significant deficiencies in their security practices.</w:t>
      </w:r>
    </w:p>
    <w:p w14:paraId="09B6712C" w14:textId="77777777"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t>In April 2015, former Chief Security Officer (CSO) Susan Mauldin implemented Equifax’s first patch management policy. This policy aimed to ensure that software vulnerabilities were promptly identified and patched to prevent potential exploits. Despite this initiative, an internal audit later that year uncovered numerous security deficiencies, including over 8,500 unresolved software vulnerabilities (Permanent Subcommittee on Investigations [PSI]). This finding indicated a systemic issue in Equifax's approach to cybersecurity, as the company struggled to keep up with the necessary updates and patches required to safeguard its data.</w:t>
      </w:r>
    </w:p>
    <w:p w14:paraId="3720516B" w14:textId="4DD0C994"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lastRenderedPageBreak/>
        <w:t>The inadequacies in Equifax’s security measures were further exposed in May 2016, when the company’s W-2 Express website was hacked. This incident resulted in the leak of personal information, including names, addresses, Social Security numbers, and other sensitive data of 430,000 individuals. This breach served as an early warning sign of the potential risks associated with Equifax’s cybersecurity practices. However, it appeared that the company did not take sufficient steps to address these vulnerabilities.</w:t>
      </w:r>
    </w:p>
    <w:p w14:paraId="6DE044B1" w14:textId="77777777" w:rsidR="005D0512" w:rsidRPr="00321AF2" w:rsidRDefault="005D0512" w:rsidP="00907E51">
      <w:pPr>
        <w:pStyle w:val="Head2"/>
      </w:pPr>
      <w:bookmarkStart w:id="2" w:name="_Toc173083637"/>
      <w:r w:rsidRPr="00321AF2">
        <w:t>Nature and Scope of the Breach</w:t>
      </w:r>
      <w:bookmarkEnd w:id="2"/>
    </w:p>
    <w:p w14:paraId="4FB83DCD" w14:textId="77777777"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t>The events that led to the 2017 breach began on March 7, 2017, when Apache released a patch for a critical vulnerability in the Apache Struts framework, a widely used open-source web application software. This vulnerability, identified as CVE-2017-5638, was easily exploitable and posed a significant security risk. On March 8, the Department of Homeland Security's US-CERT (United States Computer Emergency Readiness Team) notified Equifax of the vulnerability. Equifax’s Global Threats and Vulnerability Management (GTVM) team subsequently distributed an alert to approximately 400 employees, emphasizing the criticality of the patch (PSI).</w:t>
      </w:r>
    </w:p>
    <w:p w14:paraId="6A27B2EB" w14:textId="3390003B"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t>Despite the urgent warnings, Equifax failed to apply the patch promptly. On March 10, hackers exploited the Apache Struts vulnerability through Equifax’s online dispute portal, gaining unauthorized access to the company's network. Over the following months, from May 13 through July, the attackers expanded their access within Equifax’s network, extracting vast amounts of sensitive personal information from multiple databases. The stolen data included consumers’ names, addresses, birth dates, Social Security numbers, and credit card numbers (PSI).</w:t>
      </w:r>
    </w:p>
    <w:p w14:paraId="1007CC39" w14:textId="3390003B" w:rsidR="005D0512" w:rsidRPr="00321AF2" w:rsidRDefault="005D0512" w:rsidP="00907E51">
      <w:pPr>
        <w:pStyle w:val="Head2"/>
      </w:pPr>
      <w:bookmarkStart w:id="3" w:name="_Toc173083638"/>
      <w:r w:rsidRPr="00321AF2">
        <w:t>Security Failures Leading to the Breach</w:t>
      </w:r>
      <w:bookmarkEnd w:id="3"/>
    </w:p>
    <w:p w14:paraId="16325AEF" w14:textId="77777777"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lastRenderedPageBreak/>
        <w:t>Several critical failures within Equifax’s cybersecurity framework contributed to the breach. First, the company lacked a comprehensive IT asset inventory, meaning they did not have an accurate record of all the software applications and systems in use. As a result, when the patch for Apache Struts was released, Equifax's IT team was unable to locate all instances of the vulnerable software within their network. Multiple network scans conducted by the IT and security teams failed to identify the presence of Apache Struts, leaving the system unprotected (PSI).</w:t>
      </w:r>
    </w:p>
    <w:p w14:paraId="24D74D74" w14:textId="77777777"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t>Equifax’s patch management policy required critical vulnerabilities to be patched within 48 hours of discovery. However, due to the incomplete IT asset inventory and ineffective communication within the IT and security teams, this deadline was not met. The Apache Struts vulnerability remained unpatched for five months, providing ample opportunity for attackers to exploit the flaw (PSI). Furthermore, the internal communication regarding security vulnerabilities was inconsistent and poorly managed. Monthly GTVM meetings were held to discuss new vulnerabilities, but the status of previously identified threats was often not reviewed, even if they had not been remediated. Attendance at these meetings was not mandatory, and no records were kept of who attended or what actions were taken (PSI).</w:t>
      </w:r>
    </w:p>
    <w:p w14:paraId="72C331AE" w14:textId="5AADD1B4" w:rsidR="005D0512" w:rsidRPr="00321AF2" w:rsidRDefault="005D0512" w:rsidP="005D0512">
      <w:pPr>
        <w:spacing w:line="480" w:lineRule="auto"/>
        <w:rPr>
          <w:rFonts w:ascii="Times New Roman" w:hAnsi="Times New Roman" w:cs="Times New Roman"/>
          <w:sz w:val="24"/>
          <w:szCs w:val="24"/>
        </w:rPr>
      </w:pPr>
      <w:r w:rsidRPr="00321AF2">
        <w:rPr>
          <w:rFonts w:ascii="Times New Roman" w:hAnsi="Times New Roman" w:cs="Times New Roman"/>
          <w:sz w:val="24"/>
          <w:szCs w:val="24"/>
        </w:rPr>
        <w:t>Another significant failure was Equifax’s inability to maintain essential cybersecurity technologies. The company failed to renew an SSL certificate, which was necessary to inspect encrypted network traffic. This lapse allowed hackers to encrypt their activities on Equifax’s servers without detection. The expired certificate meant that incoming traffic was not decrypted, leaving Equifax unaware of the suspicious activities occurring within their network. It was only on July 29, 2017, after the SSL certificate was renewed, that IT staff noticed the suspicious activities, leading to the discovery of the breach</w:t>
      </w:r>
      <w:r w:rsidR="00907E51" w:rsidRPr="00321AF2">
        <w:rPr>
          <w:rFonts w:ascii="Times New Roman" w:hAnsi="Times New Roman" w:cs="Times New Roman"/>
          <w:sz w:val="24"/>
          <w:szCs w:val="24"/>
        </w:rPr>
        <w:t>.</w:t>
      </w:r>
    </w:p>
    <w:p w14:paraId="0599A46E" w14:textId="141C2999" w:rsidR="00D72358" w:rsidRPr="00321AF2" w:rsidRDefault="00D72358" w:rsidP="00D72358">
      <w:pPr>
        <w:pStyle w:val="Head1"/>
      </w:pPr>
      <w:bookmarkStart w:id="4" w:name="_Toc173083639"/>
      <w:r w:rsidRPr="00321AF2">
        <w:t>Consequences</w:t>
      </w:r>
      <w:bookmarkEnd w:id="4"/>
    </w:p>
    <w:p w14:paraId="7ABFABA6" w14:textId="77777777" w:rsidR="006C1259" w:rsidRPr="00321AF2" w:rsidRDefault="006C1259" w:rsidP="006C1259">
      <w:pPr>
        <w:pStyle w:val="Head2"/>
      </w:pPr>
      <w:bookmarkStart w:id="5" w:name="_Toc173083640"/>
      <w:r w:rsidRPr="00321AF2">
        <w:lastRenderedPageBreak/>
        <w:t>Impact on Consumers</w:t>
      </w:r>
      <w:bookmarkEnd w:id="5"/>
    </w:p>
    <w:p w14:paraId="2628FD69" w14:textId="1BD4EA27" w:rsidR="006C1259" w:rsidRPr="00321AF2" w:rsidRDefault="006C1259" w:rsidP="006C1259">
      <w:pPr>
        <w:spacing w:line="480" w:lineRule="auto"/>
        <w:rPr>
          <w:rFonts w:ascii="Times New Roman" w:hAnsi="Times New Roman" w:cs="Times New Roman"/>
          <w:sz w:val="24"/>
          <w:szCs w:val="24"/>
        </w:rPr>
      </w:pPr>
      <w:r w:rsidRPr="00321AF2">
        <w:rPr>
          <w:rFonts w:ascii="Times New Roman" w:hAnsi="Times New Roman" w:cs="Times New Roman"/>
          <w:sz w:val="24"/>
          <w:szCs w:val="24"/>
        </w:rPr>
        <w:t>The most immediate and severe impact was on the consumers whose personal information was compromised. The breach exposed names, Social Security numbers, birth dates, addresses, and, in some cases, driver’s license numbers and credit card details. Many consumers faced heightened risks of unauthorized credit card transactions, loan applications, and even tax fraud. The long-term impact of this breach means that affected individuals might have to monitor their credit reports and financial statements indefinitely, dealing with potential identity theft issues that could arise years later.</w:t>
      </w:r>
    </w:p>
    <w:p w14:paraId="0D8E7399" w14:textId="77777777" w:rsidR="006C1259" w:rsidRPr="00321AF2" w:rsidRDefault="006C1259" w:rsidP="006C1259">
      <w:pPr>
        <w:pStyle w:val="Head2"/>
      </w:pPr>
      <w:bookmarkStart w:id="6" w:name="_Toc173083641"/>
      <w:r w:rsidRPr="00321AF2">
        <w:t>Impact on the Organization</w:t>
      </w:r>
      <w:bookmarkEnd w:id="6"/>
    </w:p>
    <w:p w14:paraId="2CF56EE1" w14:textId="77777777" w:rsidR="006C1259" w:rsidRPr="00321AF2" w:rsidRDefault="006C1259" w:rsidP="006C1259">
      <w:pPr>
        <w:spacing w:line="480" w:lineRule="auto"/>
        <w:rPr>
          <w:rFonts w:ascii="Times New Roman" w:hAnsi="Times New Roman" w:cs="Times New Roman"/>
          <w:sz w:val="24"/>
          <w:szCs w:val="24"/>
        </w:rPr>
      </w:pPr>
      <w:r w:rsidRPr="00321AF2">
        <w:rPr>
          <w:rFonts w:ascii="Times New Roman" w:hAnsi="Times New Roman" w:cs="Times New Roman"/>
          <w:sz w:val="24"/>
          <w:szCs w:val="24"/>
        </w:rPr>
        <w:t>For Equifax, the breach led to a dramatic loss of consumer trust and a tarnished reputation. As a company whose primary business is to manage and protect consumer data, the failure to secure this data fundamentally undermined its credibility. In the immediate aftermath, Equifax's stock price plummeted, wiping out a significant portion of its market value. The company faced not only financial losses but also increased scrutiny from regulators and lawmakers.</w:t>
      </w:r>
    </w:p>
    <w:p w14:paraId="5EAB6D5A" w14:textId="77777777" w:rsidR="006C1259" w:rsidRPr="00321AF2" w:rsidRDefault="006C1259" w:rsidP="006C1259">
      <w:pPr>
        <w:pStyle w:val="Head2"/>
      </w:pPr>
      <w:bookmarkStart w:id="7" w:name="_Toc173083642"/>
      <w:r w:rsidRPr="00321AF2">
        <w:t>Brand Damage</w:t>
      </w:r>
      <w:bookmarkEnd w:id="7"/>
    </w:p>
    <w:p w14:paraId="718EF7B3" w14:textId="77777777" w:rsidR="006C1259" w:rsidRPr="00321AF2" w:rsidRDefault="006C1259" w:rsidP="006C1259">
      <w:pPr>
        <w:spacing w:line="480" w:lineRule="auto"/>
        <w:rPr>
          <w:rFonts w:ascii="Times New Roman" w:hAnsi="Times New Roman" w:cs="Times New Roman"/>
          <w:sz w:val="24"/>
          <w:szCs w:val="24"/>
        </w:rPr>
      </w:pPr>
      <w:r w:rsidRPr="00321AF2">
        <w:rPr>
          <w:rFonts w:ascii="Times New Roman" w:hAnsi="Times New Roman" w:cs="Times New Roman"/>
          <w:sz w:val="24"/>
          <w:szCs w:val="24"/>
        </w:rPr>
        <w:t>The damage to Equifax's brand was severe.  Initially, Equifax’s response was criticized for being slow and ineffective. The public announcement of the breach came six weeks after its discovery, raising questions about the company's transparency and commitment to consumer protection. Additionally, the revelation that some Equifax executives sold shares worth nearly $2 million shortly after the breach was discovered further damaged the company's reputation, suggesting potential insider trading and a lack of integrity among its leadership.</w:t>
      </w:r>
    </w:p>
    <w:p w14:paraId="14C17E59" w14:textId="77777777" w:rsidR="006C1259" w:rsidRPr="00321AF2" w:rsidRDefault="006C1259" w:rsidP="006C1259">
      <w:pPr>
        <w:pStyle w:val="Head2"/>
      </w:pPr>
      <w:bookmarkStart w:id="8" w:name="_Toc173083643"/>
      <w:r w:rsidRPr="00321AF2">
        <w:t>Legal and Financial Penalties</w:t>
      </w:r>
      <w:bookmarkEnd w:id="8"/>
    </w:p>
    <w:p w14:paraId="5E18DA99" w14:textId="77777777" w:rsidR="006C1259" w:rsidRPr="00321AF2" w:rsidRDefault="006C1259" w:rsidP="006C1259">
      <w:pPr>
        <w:spacing w:line="480" w:lineRule="auto"/>
        <w:rPr>
          <w:rFonts w:ascii="Times New Roman" w:hAnsi="Times New Roman" w:cs="Times New Roman"/>
          <w:sz w:val="24"/>
          <w:szCs w:val="24"/>
        </w:rPr>
      </w:pPr>
      <w:r w:rsidRPr="00321AF2">
        <w:rPr>
          <w:rFonts w:ascii="Times New Roman" w:hAnsi="Times New Roman" w:cs="Times New Roman"/>
          <w:sz w:val="24"/>
          <w:szCs w:val="24"/>
        </w:rPr>
        <w:lastRenderedPageBreak/>
        <w:t>In July 2019, the company agreed to a settlement with the Federal Trade Commission (FTC), the Consumer Financial Protection Bureau (CFPB), and 50 U.S. states and territories. The settlement required Equifax to pay up to $700 million. This amount included:</w:t>
      </w:r>
    </w:p>
    <w:p w14:paraId="7A86F73F" w14:textId="77777777" w:rsidR="006C1259" w:rsidRPr="00321AF2" w:rsidRDefault="006C1259" w:rsidP="006C1259">
      <w:pPr>
        <w:pStyle w:val="ListParagraph"/>
        <w:numPr>
          <w:ilvl w:val="0"/>
          <w:numId w:val="23"/>
        </w:numPr>
        <w:spacing w:line="480" w:lineRule="auto"/>
        <w:rPr>
          <w:rFonts w:ascii="Times New Roman" w:hAnsi="Times New Roman" w:cs="Times New Roman"/>
          <w:sz w:val="24"/>
          <w:szCs w:val="24"/>
        </w:rPr>
      </w:pPr>
      <w:r w:rsidRPr="00321AF2">
        <w:rPr>
          <w:rFonts w:ascii="Times New Roman" w:hAnsi="Times New Roman" w:cs="Times New Roman"/>
          <w:sz w:val="24"/>
          <w:szCs w:val="24"/>
        </w:rPr>
        <w:t>Consumer Compensation: $425 million was set aside to assist consumers affected by the breach. This fund covered free credit monitoring services, identity restoration services, and compensation for any financial losses related to the breach.</w:t>
      </w:r>
    </w:p>
    <w:p w14:paraId="26C819A9" w14:textId="77777777" w:rsidR="006C1259" w:rsidRPr="00321AF2" w:rsidRDefault="006C1259" w:rsidP="006C1259">
      <w:pPr>
        <w:pStyle w:val="ListParagraph"/>
        <w:numPr>
          <w:ilvl w:val="0"/>
          <w:numId w:val="23"/>
        </w:numPr>
        <w:spacing w:line="480" w:lineRule="auto"/>
        <w:rPr>
          <w:rFonts w:ascii="Times New Roman" w:hAnsi="Times New Roman" w:cs="Times New Roman"/>
          <w:sz w:val="24"/>
          <w:szCs w:val="24"/>
        </w:rPr>
      </w:pPr>
      <w:r w:rsidRPr="00321AF2">
        <w:rPr>
          <w:rFonts w:ascii="Times New Roman" w:hAnsi="Times New Roman" w:cs="Times New Roman"/>
          <w:sz w:val="24"/>
          <w:szCs w:val="24"/>
        </w:rPr>
        <w:t>Civil Penalties: $100 million in civil penalties was paid to the CFPB.</w:t>
      </w:r>
    </w:p>
    <w:p w14:paraId="658D1FEA" w14:textId="77777777" w:rsidR="006C1259" w:rsidRPr="00321AF2" w:rsidRDefault="006C1259" w:rsidP="006C1259">
      <w:pPr>
        <w:pStyle w:val="ListParagraph"/>
        <w:numPr>
          <w:ilvl w:val="0"/>
          <w:numId w:val="23"/>
        </w:numPr>
        <w:spacing w:line="480" w:lineRule="auto"/>
        <w:rPr>
          <w:rFonts w:ascii="Times New Roman" w:hAnsi="Times New Roman" w:cs="Times New Roman"/>
          <w:sz w:val="24"/>
          <w:szCs w:val="24"/>
        </w:rPr>
      </w:pPr>
      <w:r w:rsidRPr="00321AF2">
        <w:rPr>
          <w:rFonts w:ascii="Times New Roman" w:hAnsi="Times New Roman" w:cs="Times New Roman"/>
          <w:sz w:val="24"/>
          <w:szCs w:val="24"/>
        </w:rPr>
        <w:t>State and Territory Payments: $175 million was allocated to states and territories to settle investigations and lawsuits.</w:t>
      </w:r>
    </w:p>
    <w:p w14:paraId="720E44B2" w14:textId="77777777" w:rsidR="006C1259" w:rsidRPr="00321AF2" w:rsidRDefault="006C1259" w:rsidP="006C1259">
      <w:pPr>
        <w:spacing w:line="480" w:lineRule="auto"/>
        <w:rPr>
          <w:rFonts w:ascii="Times New Roman" w:hAnsi="Times New Roman" w:cs="Times New Roman"/>
          <w:sz w:val="24"/>
          <w:szCs w:val="24"/>
        </w:rPr>
      </w:pPr>
      <w:r w:rsidRPr="00321AF2">
        <w:rPr>
          <w:rFonts w:ascii="Times New Roman" w:hAnsi="Times New Roman" w:cs="Times New Roman"/>
          <w:sz w:val="24"/>
          <w:szCs w:val="24"/>
        </w:rPr>
        <w:t xml:space="preserve">Beyond the financial penalties, Equifax was also required to implement significant changes to its cybersecurity practices. The company agreed to undergo regular third-party security assessments, improve its data protection measures, and establish a comprehensive information security program. </w:t>
      </w:r>
    </w:p>
    <w:p w14:paraId="286E6810" w14:textId="77777777" w:rsidR="006C1259" w:rsidRPr="00321AF2" w:rsidRDefault="006C1259" w:rsidP="006C1259">
      <w:pPr>
        <w:pStyle w:val="Head2"/>
      </w:pPr>
      <w:bookmarkStart w:id="9" w:name="_Toc173083644"/>
      <w:r w:rsidRPr="00321AF2">
        <w:t>Long-Term Consequences</w:t>
      </w:r>
      <w:bookmarkEnd w:id="9"/>
    </w:p>
    <w:p w14:paraId="2E9AE9FB" w14:textId="5227AD1D" w:rsidR="006C1259" w:rsidRPr="00321AF2" w:rsidRDefault="006C1259" w:rsidP="006C1259">
      <w:pPr>
        <w:spacing w:line="480" w:lineRule="auto"/>
        <w:rPr>
          <w:rFonts w:ascii="Times New Roman" w:hAnsi="Times New Roman" w:cs="Times New Roman"/>
          <w:sz w:val="24"/>
          <w:szCs w:val="24"/>
        </w:rPr>
      </w:pPr>
      <w:r w:rsidRPr="00321AF2">
        <w:rPr>
          <w:rFonts w:ascii="Times New Roman" w:hAnsi="Times New Roman" w:cs="Times New Roman"/>
          <w:sz w:val="24"/>
          <w:szCs w:val="24"/>
        </w:rPr>
        <w:t xml:space="preserve">The long-term consequences for Equifax include ongoing regulatory scrutiny and the need to continually invest in advanced cybersecurity technologies and protocols. The breach also prompted a broader discussion about the security of consumer data and the responsibilities of companies that manage such data. </w:t>
      </w:r>
    </w:p>
    <w:p w14:paraId="080F168E" w14:textId="77777777" w:rsidR="006C1259" w:rsidRPr="00321AF2" w:rsidRDefault="006C1259" w:rsidP="006C1259">
      <w:pPr>
        <w:spacing w:line="480" w:lineRule="auto"/>
        <w:rPr>
          <w:rFonts w:ascii="Times New Roman" w:hAnsi="Times New Roman" w:cs="Times New Roman"/>
          <w:sz w:val="24"/>
          <w:szCs w:val="24"/>
        </w:rPr>
      </w:pPr>
      <w:r w:rsidRPr="00321AF2">
        <w:rPr>
          <w:rFonts w:ascii="Times New Roman" w:hAnsi="Times New Roman" w:cs="Times New Roman"/>
          <w:sz w:val="24"/>
          <w:szCs w:val="24"/>
        </w:rPr>
        <w:t>In summary, the Equifax data breach had severe and lasting consequences for consumers, the organization, and its brand. It resulted in substantial legal and financial penalties, a significant loss of consumer trust, and long-term challenges for Equifax in rebuilding its reputation and strengthening its cybersecurity infrastructure.</w:t>
      </w:r>
    </w:p>
    <w:p w14:paraId="59B0660F" w14:textId="45D755A7" w:rsidR="00907E51" w:rsidRPr="00321AF2" w:rsidRDefault="00907E51" w:rsidP="00907E51">
      <w:pPr>
        <w:pStyle w:val="Head1"/>
      </w:pPr>
      <w:bookmarkStart w:id="10" w:name="_Toc173083645"/>
      <w:r w:rsidRPr="00321AF2">
        <w:t>Legislation</w:t>
      </w:r>
      <w:bookmarkEnd w:id="10"/>
    </w:p>
    <w:p w14:paraId="270BF7BE" w14:textId="77777777" w:rsidR="00000A47" w:rsidRPr="00321AF2" w:rsidRDefault="00000A47" w:rsidP="00BE6517">
      <w:pPr>
        <w:pStyle w:val="Head2"/>
      </w:pPr>
      <w:bookmarkStart w:id="11" w:name="_Toc173083646"/>
      <w:r w:rsidRPr="00321AF2">
        <w:lastRenderedPageBreak/>
        <w:t>Pre-Breach Legislative and Regulatory Environment</w:t>
      </w:r>
      <w:bookmarkEnd w:id="11"/>
    </w:p>
    <w:p w14:paraId="112C0EC4" w14:textId="77777777"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t>At the time of the Equifax breach, two key pieces of legislation governed data protection and consumer privacy: the Gramm-Leach-Bliley Act (GLBA) and the Fair Credit Reporting Act (FCRA).</w:t>
      </w:r>
    </w:p>
    <w:p w14:paraId="623F2767" w14:textId="77777777"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t>The Gramm-Leach-Bliley Act (GLBA): Enacted in 1999, the GLBA requires financial institutions to explain their information-sharing practices and safeguard sensitive data. However, its enforcement mechanisms have been criticized for lacking rigor in addressing evolving cyber threats.</w:t>
      </w:r>
    </w:p>
    <w:p w14:paraId="2BD78F15" w14:textId="77777777"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t>The Fair Credit Reporting Act (FCRA): Established in 1970, the FCRA ensures the accuracy, fairness, and privacy of consumer information in credit reporting agencies' files. While it includes data protection provisions, it does not comprehensively address the specific cybersecurity measures needed to prevent breaches.</w:t>
      </w:r>
    </w:p>
    <w:p w14:paraId="0798EB5A" w14:textId="77777777"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t>Despite these frameworks, the Equifax breach underscored their inadequacy in preventing significant data security incidents. The laws lacked sufficient oversight, enforcement, or penalties to incentivize CRAs to prioritize robust cybersecurity practices.</w:t>
      </w:r>
    </w:p>
    <w:p w14:paraId="443CEE65" w14:textId="69AE205B" w:rsidR="00BE6517" w:rsidRPr="00321AF2" w:rsidRDefault="00BE6517" w:rsidP="00BE6517">
      <w:pPr>
        <w:pStyle w:val="Head2"/>
      </w:pPr>
      <w:bookmarkStart w:id="12" w:name="_Toc173083647"/>
      <w:r w:rsidRPr="00321AF2">
        <w:t>P</w:t>
      </w:r>
      <w:r w:rsidRPr="00321AF2">
        <w:t>ost</w:t>
      </w:r>
      <w:r w:rsidRPr="00321AF2">
        <w:t>-Breach Legislative and Regulatory Environment</w:t>
      </w:r>
      <w:bookmarkEnd w:id="12"/>
    </w:p>
    <w:p w14:paraId="1089A38E" w14:textId="47F07CF9"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t xml:space="preserve">In March 2018, the Senate passed </w:t>
      </w:r>
      <w:r w:rsidR="00BE6517" w:rsidRPr="00321AF2">
        <w:rPr>
          <w:rFonts w:ascii="Times New Roman" w:hAnsi="Times New Roman" w:cs="Times New Roman"/>
          <w:sz w:val="24"/>
          <w:szCs w:val="24"/>
        </w:rPr>
        <w:t>The Economic Growth, Regulatory Relief, and Consumer Protection Act</w:t>
      </w:r>
      <w:r w:rsidRPr="00321AF2">
        <w:rPr>
          <w:rFonts w:ascii="Times New Roman" w:hAnsi="Times New Roman" w:cs="Times New Roman"/>
          <w:sz w:val="24"/>
          <w:szCs w:val="24"/>
        </w:rPr>
        <w:t>, which included:</w:t>
      </w:r>
    </w:p>
    <w:p w14:paraId="0B54397C" w14:textId="77777777" w:rsidR="00000A47" w:rsidRPr="00321AF2" w:rsidRDefault="00000A47" w:rsidP="00000A47">
      <w:pPr>
        <w:pStyle w:val="ListParagraph"/>
        <w:numPr>
          <w:ilvl w:val="0"/>
          <w:numId w:val="17"/>
        </w:numPr>
        <w:spacing w:line="480" w:lineRule="auto"/>
        <w:rPr>
          <w:rFonts w:ascii="Times New Roman" w:hAnsi="Times New Roman" w:cs="Times New Roman"/>
          <w:sz w:val="24"/>
          <w:szCs w:val="24"/>
        </w:rPr>
      </w:pPr>
      <w:r w:rsidRPr="00321AF2">
        <w:rPr>
          <w:rFonts w:ascii="Times New Roman" w:hAnsi="Times New Roman" w:cs="Times New Roman"/>
          <w:sz w:val="24"/>
          <w:szCs w:val="24"/>
        </w:rPr>
        <w:t>Free Credit Freezes: Allowing consumers to place free credit freezes on their accounts.</w:t>
      </w:r>
    </w:p>
    <w:p w14:paraId="392DF4AF" w14:textId="77777777" w:rsidR="00000A47" w:rsidRPr="00321AF2" w:rsidRDefault="00000A47" w:rsidP="00000A47">
      <w:pPr>
        <w:pStyle w:val="ListParagraph"/>
        <w:numPr>
          <w:ilvl w:val="0"/>
          <w:numId w:val="17"/>
        </w:numPr>
        <w:spacing w:line="480" w:lineRule="auto"/>
        <w:rPr>
          <w:rFonts w:ascii="Times New Roman" w:hAnsi="Times New Roman" w:cs="Times New Roman"/>
          <w:sz w:val="24"/>
          <w:szCs w:val="24"/>
        </w:rPr>
      </w:pPr>
      <w:r w:rsidRPr="00321AF2">
        <w:rPr>
          <w:rFonts w:ascii="Times New Roman" w:hAnsi="Times New Roman" w:cs="Times New Roman"/>
          <w:sz w:val="24"/>
          <w:szCs w:val="24"/>
        </w:rPr>
        <w:t>Fraud Alerts: Enabling consumers to place one-year fraud alerts on their credit reports.</w:t>
      </w:r>
    </w:p>
    <w:p w14:paraId="33109E9D" w14:textId="77777777"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t>While these measures provided immediate relief to consumers, they did not impose significant new obligations on CRAs to enhance their data security frameworks.</w:t>
      </w:r>
    </w:p>
    <w:p w14:paraId="1FA1B9FD" w14:textId="77777777"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lastRenderedPageBreak/>
        <w:t>Despite legislative efforts, comprehensive reform has been slow. The Data Breach Prevention and Compensation Act was reintroduced in 2019 but has not advanced. Challenges include:</w:t>
      </w:r>
    </w:p>
    <w:p w14:paraId="1A68E74B" w14:textId="77777777" w:rsidR="00000A47" w:rsidRPr="00321AF2" w:rsidRDefault="00000A47" w:rsidP="00000A47">
      <w:pPr>
        <w:pStyle w:val="ListParagraph"/>
        <w:numPr>
          <w:ilvl w:val="0"/>
          <w:numId w:val="18"/>
        </w:numPr>
        <w:spacing w:line="480" w:lineRule="auto"/>
        <w:rPr>
          <w:rFonts w:ascii="Times New Roman" w:hAnsi="Times New Roman" w:cs="Times New Roman"/>
          <w:sz w:val="24"/>
          <w:szCs w:val="24"/>
        </w:rPr>
      </w:pPr>
      <w:r w:rsidRPr="00321AF2">
        <w:rPr>
          <w:rFonts w:ascii="Times New Roman" w:hAnsi="Times New Roman" w:cs="Times New Roman"/>
          <w:sz w:val="24"/>
          <w:szCs w:val="24"/>
        </w:rPr>
        <w:t>Complexity of the Legislative Process: Passing comprehensive data protection laws involves navigating complex legislative processes and competing interests.</w:t>
      </w:r>
    </w:p>
    <w:p w14:paraId="457DED8E" w14:textId="77777777" w:rsidR="00000A47" w:rsidRPr="00321AF2" w:rsidRDefault="00000A47" w:rsidP="00000A47">
      <w:pPr>
        <w:pStyle w:val="ListParagraph"/>
        <w:numPr>
          <w:ilvl w:val="0"/>
          <w:numId w:val="18"/>
        </w:numPr>
        <w:spacing w:line="480" w:lineRule="auto"/>
        <w:rPr>
          <w:rFonts w:ascii="Times New Roman" w:hAnsi="Times New Roman" w:cs="Times New Roman"/>
          <w:sz w:val="24"/>
          <w:szCs w:val="24"/>
        </w:rPr>
      </w:pPr>
      <w:r w:rsidRPr="00321AF2">
        <w:rPr>
          <w:rFonts w:ascii="Times New Roman" w:hAnsi="Times New Roman" w:cs="Times New Roman"/>
          <w:sz w:val="24"/>
          <w:szCs w:val="24"/>
        </w:rPr>
        <w:t>Industry Resistance: CRAs and financial institutions may resist stringent regulations that impose higher compliance costs.</w:t>
      </w:r>
    </w:p>
    <w:p w14:paraId="0B0F3B1A" w14:textId="77777777" w:rsidR="00000A47" w:rsidRPr="00321AF2" w:rsidRDefault="00000A47" w:rsidP="00000A47">
      <w:pPr>
        <w:pStyle w:val="ListParagraph"/>
        <w:numPr>
          <w:ilvl w:val="0"/>
          <w:numId w:val="18"/>
        </w:numPr>
        <w:spacing w:line="480" w:lineRule="auto"/>
        <w:rPr>
          <w:rFonts w:ascii="Times New Roman" w:hAnsi="Times New Roman" w:cs="Times New Roman"/>
          <w:sz w:val="24"/>
          <w:szCs w:val="24"/>
        </w:rPr>
      </w:pPr>
      <w:r w:rsidRPr="00321AF2">
        <w:rPr>
          <w:rFonts w:ascii="Times New Roman" w:hAnsi="Times New Roman" w:cs="Times New Roman"/>
          <w:sz w:val="24"/>
          <w:szCs w:val="24"/>
        </w:rPr>
        <w:t>Rapidly Evolving Cyber Threats: Crafting laws that remain relevant amid evolving cyber threats is challenging.</w:t>
      </w:r>
    </w:p>
    <w:p w14:paraId="625B181B" w14:textId="77777777"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t>The Role of Industry Standards and Best Practices: In addition to legislation, industry standards and best practices, like the NIST Cybersecurity Framework, provide valuable guidance. However, without mandatory compliance, adoption can be inconsistent.</w:t>
      </w:r>
    </w:p>
    <w:p w14:paraId="5BB89E78" w14:textId="77777777" w:rsidR="00000A47" w:rsidRPr="00321AF2" w:rsidRDefault="00000A47" w:rsidP="00BE6517">
      <w:pPr>
        <w:pStyle w:val="Head2"/>
      </w:pPr>
      <w:bookmarkStart w:id="13" w:name="_Toc173083648"/>
      <w:r w:rsidRPr="00321AF2">
        <w:t>Conclusion</w:t>
      </w:r>
      <w:bookmarkEnd w:id="13"/>
    </w:p>
    <w:p w14:paraId="54A4598E" w14:textId="77777777" w:rsidR="00000A47" w:rsidRPr="00321AF2" w:rsidRDefault="00000A47" w:rsidP="00000A47">
      <w:pPr>
        <w:spacing w:line="480" w:lineRule="auto"/>
        <w:rPr>
          <w:rFonts w:ascii="Times New Roman" w:hAnsi="Times New Roman" w:cs="Times New Roman"/>
          <w:sz w:val="24"/>
          <w:szCs w:val="24"/>
        </w:rPr>
      </w:pPr>
      <w:r w:rsidRPr="00321AF2">
        <w:rPr>
          <w:rFonts w:ascii="Times New Roman" w:hAnsi="Times New Roman" w:cs="Times New Roman"/>
          <w:sz w:val="24"/>
          <w:szCs w:val="24"/>
        </w:rPr>
        <w:t>The Equifax breach underscored the need for comprehensive data protection reform. While legislative efforts have made progress in enhancing consumer protection and regulatory oversight, significant challenges remain. Addressing these requires robust regulatory frameworks, industry standards, proactive measures, and global cooperation to protect sensitive information and mitigate future data breaches.</w:t>
      </w:r>
    </w:p>
    <w:p w14:paraId="3954ACC3" w14:textId="17D63978" w:rsidR="0079733B" w:rsidRPr="00321AF2" w:rsidRDefault="006C1259" w:rsidP="00283E72">
      <w:pPr>
        <w:pStyle w:val="Head1"/>
      </w:pPr>
      <w:bookmarkStart w:id="14" w:name="_Toc173083649"/>
      <w:r w:rsidRPr="00321AF2">
        <w:t>Analysis</w:t>
      </w:r>
      <w:bookmarkEnd w:id="14"/>
    </w:p>
    <w:p w14:paraId="4EA5819B" w14:textId="77777777" w:rsidR="00283E72" w:rsidRPr="00321AF2" w:rsidRDefault="00283E72" w:rsidP="00283E72">
      <w:pPr>
        <w:spacing w:line="480" w:lineRule="auto"/>
        <w:rPr>
          <w:rFonts w:ascii="Times New Roman" w:hAnsi="Times New Roman" w:cs="Times New Roman"/>
          <w:sz w:val="24"/>
          <w:szCs w:val="24"/>
        </w:rPr>
      </w:pPr>
      <w:r w:rsidRPr="00321AF2">
        <w:rPr>
          <w:rFonts w:ascii="Times New Roman" w:hAnsi="Times New Roman" w:cs="Times New Roman"/>
          <w:sz w:val="24"/>
          <w:szCs w:val="24"/>
        </w:rPr>
        <w:t xml:space="preserve">The Equifax data breach was primarily the result of systemic failures within the company's cybersecurity framework, placing the responsibility squarely on Equifax's management and IT security teams. The immediate cause was the exploitation of a known vulnerability in the Apache Struts web application framework, for which a patch had been available since March 2017. Equifax's failure to promptly apply this patch highlighted significant deficiencies in their patch management process. An internal audit in 2015 had already exposed over 8,500 </w:t>
      </w:r>
      <w:r w:rsidRPr="00321AF2">
        <w:rPr>
          <w:rFonts w:ascii="Times New Roman" w:hAnsi="Times New Roman" w:cs="Times New Roman"/>
          <w:sz w:val="24"/>
          <w:szCs w:val="24"/>
        </w:rPr>
        <w:lastRenderedPageBreak/>
        <w:t>unresolved vulnerabilities, indicating a pattern of negligence. Furthermore, Equifax lacked a comprehensive IT asset inventory, which prevented the identification and patching of all instances of the vulnerable software. This oversight was exacerbated by the expiration of an SSL certificate, which hindered their ability to monitor encrypted network traffic and detect suspicious activities. Poor internal communication and organizational failures further compounded the issue; critical notifications about the vulnerability did not reach the necessary personnel, and there was a lack of accountability and enforcement in implementing security protocols. Former CEO Richard Smith’s attempt to attribute the breach to a single employee was misleading, as the breach was due to broader systemic issues within Equifax’s cybersecurity infrastructure. These included inadequate security practices, poor risk management, and a failure to foster a culture of proactive cybersecurity. Therefore, the breach was not just a technical failure but a profound organizational failure to maintain robust cybersecurity defenses and effectively manage security risks.</w:t>
      </w:r>
    </w:p>
    <w:p w14:paraId="79D89160" w14:textId="1396CA5E" w:rsidR="0058345F" w:rsidRPr="00321AF2" w:rsidRDefault="0058345F" w:rsidP="0058345F">
      <w:pPr>
        <w:pStyle w:val="Head1"/>
      </w:pPr>
      <w:bookmarkStart w:id="15" w:name="_Toc173083650"/>
      <w:r w:rsidRPr="00321AF2">
        <w:t>Recommendations</w:t>
      </w:r>
      <w:bookmarkEnd w:id="15"/>
    </w:p>
    <w:p w14:paraId="77A5D342" w14:textId="77777777" w:rsidR="00D72358" w:rsidRPr="00321AF2" w:rsidRDefault="00D72358" w:rsidP="00D72358">
      <w:pPr>
        <w:spacing w:line="480" w:lineRule="auto"/>
        <w:rPr>
          <w:rFonts w:ascii="Times New Roman" w:hAnsi="Times New Roman" w:cs="Times New Roman"/>
        </w:rPr>
      </w:pPr>
      <w:r w:rsidRPr="00321AF2">
        <w:rPr>
          <w:rFonts w:ascii="Times New Roman" w:hAnsi="Times New Roman" w:cs="Times New Roman"/>
        </w:rPr>
        <w:t xml:space="preserve">Designing an effective data breach risk minimization strategy for a company like Equifax requires a comprehensive approach that integrates policies, technology, and oversight. </w:t>
      </w:r>
    </w:p>
    <w:p w14:paraId="2FA67C0B" w14:textId="77777777" w:rsidR="00D72358" w:rsidRPr="00321AF2" w:rsidRDefault="00D72358" w:rsidP="00D72358">
      <w:pPr>
        <w:pStyle w:val="Head2"/>
      </w:pPr>
      <w:bookmarkStart w:id="16" w:name="_Toc173083651"/>
      <w:r w:rsidRPr="00321AF2">
        <w:t>Policies</w:t>
      </w:r>
      <w:bookmarkEnd w:id="16"/>
    </w:p>
    <w:p w14:paraId="20F18F95" w14:textId="77777777" w:rsidR="00D72358" w:rsidRPr="00321AF2" w:rsidRDefault="00D72358" w:rsidP="00D72358">
      <w:pPr>
        <w:pStyle w:val="ListParagraph"/>
        <w:numPr>
          <w:ilvl w:val="0"/>
          <w:numId w:val="19"/>
        </w:numPr>
        <w:spacing w:line="480" w:lineRule="auto"/>
        <w:rPr>
          <w:rFonts w:ascii="Times New Roman" w:hAnsi="Times New Roman" w:cs="Times New Roman"/>
        </w:rPr>
      </w:pPr>
      <w:r w:rsidRPr="00321AF2">
        <w:rPr>
          <w:rFonts w:ascii="Times New Roman" w:hAnsi="Times New Roman" w:cs="Times New Roman"/>
        </w:rPr>
        <w:t xml:space="preserve">Comprehensive Patch Management: Implement a stringent patch management policy requiring immediate application of critical security patches. </w:t>
      </w:r>
    </w:p>
    <w:p w14:paraId="6E1E1BF2" w14:textId="77777777" w:rsidR="00D72358" w:rsidRPr="00321AF2" w:rsidRDefault="00D72358" w:rsidP="00D72358">
      <w:pPr>
        <w:pStyle w:val="ListParagraph"/>
        <w:numPr>
          <w:ilvl w:val="0"/>
          <w:numId w:val="19"/>
        </w:numPr>
        <w:spacing w:line="480" w:lineRule="auto"/>
        <w:rPr>
          <w:rFonts w:ascii="Times New Roman" w:hAnsi="Times New Roman" w:cs="Times New Roman"/>
        </w:rPr>
      </w:pPr>
      <w:r w:rsidRPr="00321AF2">
        <w:rPr>
          <w:rFonts w:ascii="Times New Roman" w:hAnsi="Times New Roman" w:cs="Times New Roman"/>
        </w:rPr>
        <w:t xml:space="preserve">Regular Security Audits: Conduct frequent security audits to identify and rectify vulnerabilities. </w:t>
      </w:r>
    </w:p>
    <w:p w14:paraId="1423046F" w14:textId="77777777" w:rsidR="00D72358" w:rsidRPr="00321AF2" w:rsidRDefault="00D72358" w:rsidP="00D72358">
      <w:pPr>
        <w:pStyle w:val="ListParagraph"/>
        <w:numPr>
          <w:ilvl w:val="0"/>
          <w:numId w:val="19"/>
        </w:numPr>
        <w:spacing w:line="480" w:lineRule="auto"/>
        <w:rPr>
          <w:rFonts w:ascii="Times New Roman" w:hAnsi="Times New Roman" w:cs="Times New Roman"/>
        </w:rPr>
      </w:pPr>
      <w:r w:rsidRPr="00321AF2">
        <w:rPr>
          <w:rFonts w:ascii="Times New Roman" w:hAnsi="Times New Roman" w:cs="Times New Roman"/>
        </w:rPr>
        <w:t xml:space="preserve">Incident Response Plan: Develop and maintain a detailed incident response plan outlining steps for detecting, responding to, and recovering from data breaches. </w:t>
      </w:r>
    </w:p>
    <w:p w14:paraId="1E6DD0FF" w14:textId="77777777" w:rsidR="00D72358" w:rsidRPr="00321AF2" w:rsidRDefault="00D72358" w:rsidP="00D72358">
      <w:pPr>
        <w:pStyle w:val="ListParagraph"/>
        <w:numPr>
          <w:ilvl w:val="0"/>
          <w:numId w:val="19"/>
        </w:numPr>
        <w:spacing w:line="480" w:lineRule="auto"/>
        <w:rPr>
          <w:rFonts w:ascii="Times New Roman" w:hAnsi="Times New Roman" w:cs="Times New Roman"/>
        </w:rPr>
      </w:pPr>
      <w:r w:rsidRPr="00321AF2">
        <w:rPr>
          <w:rFonts w:ascii="Times New Roman" w:hAnsi="Times New Roman" w:cs="Times New Roman"/>
        </w:rPr>
        <w:t>Data Encryption: Mandate encryption of all sensitive data in transit and at rest. Regularly review and update encryption standards to comply with the latest security protocols.</w:t>
      </w:r>
    </w:p>
    <w:p w14:paraId="75F782BA" w14:textId="77777777" w:rsidR="00D72358" w:rsidRPr="00321AF2" w:rsidRDefault="00D72358" w:rsidP="00D72358">
      <w:pPr>
        <w:pStyle w:val="ListParagraph"/>
        <w:numPr>
          <w:ilvl w:val="0"/>
          <w:numId w:val="19"/>
        </w:numPr>
        <w:spacing w:line="480" w:lineRule="auto"/>
        <w:rPr>
          <w:rFonts w:ascii="Times New Roman" w:hAnsi="Times New Roman" w:cs="Times New Roman"/>
        </w:rPr>
      </w:pPr>
      <w:r w:rsidRPr="00321AF2">
        <w:rPr>
          <w:rFonts w:ascii="Times New Roman" w:hAnsi="Times New Roman" w:cs="Times New Roman"/>
        </w:rPr>
        <w:lastRenderedPageBreak/>
        <w:t>Employee Training and Awareness: Implement ongoing cybersecurity training programs for all employees, educating them about threats, phishing scams, and best practices for data security.</w:t>
      </w:r>
    </w:p>
    <w:p w14:paraId="335F0D56" w14:textId="77777777" w:rsidR="00D72358" w:rsidRPr="00321AF2" w:rsidRDefault="00D72358" w:rsidP="00D72358">
      <w:pPr>
        <w:pStyle w:val="Head2"/>
      </w:pPr>
      <w:bookmarkStart w:id="17" w:name="_Toc173083652"/>
      <w:r w:rsidRPr="00321AF2">
        <w:t>Technology</w:t>
      </w:r>
      <w:bookmarkEnd w:id="17"/>
    </w:p>
    <w:p w14:paraId="608F6825" w14:textId="77777777" w:rsidR="00D72358" w:rsidRPr="00321AF2" w:rsidRDefault="00D72358" w:rsidP="00D72358">
      <w:pPr>
        <w:pStyle w:val="ListParagraph"/>
        <w:numPr>
          <w:ilvl w:val="0"/>
          <w:numId w:val="20"/>
        </w:numPr>
        <w:spacing w:line="480" w:lineRule="auto"/>
        <w:rPr>
          <w:rFonts w:ascii="Times New Roman" w:hAnsi="Times New Roman" w:cs="Times New Roman"/>
        </w:rPr>
      </w:pPr>
      <w:r w:rsidRPr="00321AF2">
        <w:rPr>
          <w:rFonts w:ascii="Times New Roman" w:hAnsi="Times New Roman" w:cs="Times New Roman"/>
        </w:rPr>
        <w:t>Advanced Threat Detection: Deploy advanced threat detection and prevention systems, such as Intrusion Detection Systems (IDS) and Intrusion Prevention Systems (IPS).</w:t>
      </w:r>
    </w:p>
    <w:p w14:paraId="789B2D5A" w14:textId="77777777" w:rsidR="00D72358" w:rsidRPr="00321AF2" w:rsidRDefault="00D72358" w:rsidP="00D72358">
      <w:pPr>
        <w:pStyle w:val="ListParagraph"/>
        <w:numPr>
          <w:ilvl w:val="0"/>
          <w:numId w:val="20"/>
        </w:numPr>
        <w:spacing w:line="480" w:lineRule="auto"/>
        <w:rPr>
          <w:rFonts w:ascii="Times New Roman" w:hAnsi="Times New Roman" w:cs="Times New Roman"/>
        </w:rPr>
      </w:pPr>
      <w:r w:rsidRPr="00321AF2">
        <w:rPr>
          <w:rFonts w:ascii="Times New Roman" w:hAnsi="Times New Roman" w:cs="Times New Roman"/>
        </w:rPr>
        <w:t>Endpoint Protection: Install comprehensive endpoint protection solutions on all devices to guard against malware, ransomware, and other threats, including anti-virus software, firewalls, and regular updates.</w:t>
      </w:r>
    </w:p>
    <w:p w14:paraId="7427D4B2" w14:textId="77777777" w:rsidR="00D72358" w:rsidRPr="00321AF2" w:rsidRDefault="00D72358" w:rsidP="00D72358">
      <w:pPr>
        <w:pStyle w:val="ListParagraph"/>
        <w:numPr>
          <w:ilvl w:val="0"/>
          <w:numId w:val="20"/>
        </w:numPr>
        <w:spacing w:line="480" w:lineRule="auto"/>
        <w:rPr>
          <w:rFonts w:ascii="Times New Roman" w:hAnsi="Times New Roman" w:cs="Times New Roman"/>
        </w:rPr>
      </w:pPr>
      <w:r w:rsidRPr="00321AF2">
        <w:rPr>
          <w:rFonts w:ascii="Times New Roman" w:hAnsi="Times New Roman" w:cs="Times New Roman"/>
        </w:rPr>
        <w:t>Network Segmentation: Implement network segmentation to isolate sensitive data and systems, limiting attackers' movement within the network and reducing the risk of widespread data breaches.</w:t>
      </w:r>
    </w:p>
    <w:p w14:paraId="3717AC5F" w14:textId="77777777" w:rsidR="00D72358" w:rsidRPr="00321AF2" w:rsidRDefault="00D72358" w:rsidP="00D72358">
      <w:pPr>
        <w:pStyle w:val="ListParagraph"/>
        <w:numPr>
          <w:ilvl w:val="0"/>
          <w:numId w:val="20"/>
        </w:numPr>
        <w:spacing w:line="480" w:lineRule="auto"/>
        <w:rPr>
          <w:rFonts w:ascii="Times New Roman" w:hAnsi="Times New Roman" w:cs="Times New Roman"/>
        </w:rPr>
      </w:pPr>
      <w:r w:rsidRPr="00321AF2">
        <w:rPr>
          <w:rFonts w:ascii="Times New Roman" w:hAnsi="Times New Roman" w:cs="Times New Roman"/>
        </w:rPr>
        <w:t>Access Control Mechanisms: Use multi-factor authentication (MFA) and strict access controls to ensure that only authorized personnel access sensitive information.</w:t>
      </w:r>
    </w:p>
    <w:p w14:paraId="223C8E28" w14:textId="77777777" w:rsidR="00D72358" w:rsidRPr="00321AF2" w:rsidRDefault="00D72358" w:rsidP="00D72358">
      <w:pPr>
        <w:pStyle w:val="ListParagraph"/>
        <w:numPr>
          <w:ilvl w:val="0"/>
          <w:numId w:val="20"/>
        </w:numPr>
        <w:spacing w:line="480" w:lineRule="auto"/>
        <w:rPr>
          <w:rFonts w:ascii="Times New Roman" w:hAnsi="Times New Roman" w:cs="Times New Roman"/>
        </w:rPr>
      </w:pPr>
      <w:r w:rsidRPr="00321AF2">
        <w:rPr>
          <w:rFonts w:ascii="Times New Roman" w:hAnsi="Times New Roman" w:cs="Times New Roman"/>
        </w:rPr>
        <w:t>Regular Vulnerability Scanning and Penetration Testing: Conduct continuous vulnerability scanning and periodic penetration testing to identify and address potential security gaps.</w:t>
      </w:r>
    </w:p>
    <w:p w14:paraId="08265F9D" w14:textId="77777777" w:rsidR="00D72358" w:rsidRPr="00321AF2" w:rsidRDefault="00D72358" w:rsidP="00D72358">
      <w:pPr>
        <w:pStyle w:val="Head2"/>
      </w:pPr>
      <w:bookmarkStart w:id="18" w:name="_Toc173083653"/>
      <w:r w:rsidRPr="00321AF2">
        <w:t>Oversight</w:t>
      </w:r>
      <w:bookmarkEnd w:id="18"/>
    </w:p>
    <w:p w14:paraId="432EBDA9" w14:textId="77777777" w:rsidR="00D72358" w:rsidRPr="00321AF2" w:rsidRDefault="00D72358" w:rsidP="00D72358">
      <w:pPr>
        <w:pStyle w:val="ListParagraph"/>
        <w:numPr>
          <w:ilvl w:val="0"/>
          <w:numId w:val="21"/>
        </w:numPr>
        <w:spacing w:line="480" w:lineRule="auto"/>
        <w:rPr>
          <w:rFonts w:ascii="Times New Roman" w:hAnsi="Times New Roman" w:cs="Times New Roman"/>
        </w:rPr>
      </w:pPr>
      <w:r w:rsidRPr="00321AF2">
        <w:rPr>
          <w:rFonts w:ascii="Times New Roman" w:hAnsi="Times New Roman" w:cs="Times New Roman"/>
        </w:rPr>
        <w:t>Dedicated Cybersecurity Team: Establish a dedicated cybersecurity team responsible for implementing and overseeing the cybersecurity strategy.</w:t>
      </w:r>
    </w:p>
    <w:p w14:paraId="732EDC00" w14:textId="77777777" w:rsidR="00D72358" w:rsidRPr="00321AF2" w:rsidRDefault="00D72358" w:rsidP="00D72358">
      <w:pPr>
        <w:pStyle w:val="ListParagraph"/>
        <w:numPr>
          <w:ilvl w:val="0"/>
          <w:numId w:val="21"/>
        </w:numPr>
        <w:spacing w:line="480" w:lineRule="auto"/>
        <w:rPr>
          <w:rFonts w:ascii="Times New Roman" w:hAnsi="Times New Roman" w:cs="Times New Roman"/>
        </w:rPr>
      </w:pPr>
      <w:r w:rsidRPr="00321AF2">
        <w:rPr>
          <w:rFonts w:ascii="Times New Roman" w:hAnsi="Times New Roman" w:cs="Times New Roman"/>
        </w:rPr>
        <w:t>Continuous Monitoring and Reporting: Implement continuous monitoring of all systems and networks to detect and respond to threats in real time.</w:t>
      </w:r>
    </w:p>
    <w:p w14:paraId="67BAE382" w14:textId="77777777" w:rsidR="00D72358" w:rsidRPr="00321AF2" w:rsidRDefault="00D72358" w:rsidP="00D72358">
      <w:pPr>
        <w:pStyle w:val="ListParagraph"/>
        <w:numPr>
          <w:ilvl w:val="0"/>
          <w:numId w:val="21"/>
        </w:numPr>
        <w:spacing w:line="480" w:lineRule="auto"/>
        <w:rPr>
          <w:rFonts w:ascii="Times New Roman" w:hAnsi="Times New Roman" w:cs="Times New Roman"/>
        </w:rPr>
      </w:pPr>
      <w:r w:rsidRPr="00321AF2">
        <w:rPr>
          <w:rFonts w:ascii="Times New Roman" w:hAnsi="Times New Roman" w:cs="Times New Roman"/>
        </w:rPr>
        <w:t>Compliance with Regulatory Standards: Ensure compliance with relevant regulatory standards and industry best practices, such as GDPR, CCPA, and ISO/IEC 27001.</w:t>
      </w:r>
    </w:p>
    <w:p w14:paraId="07B6E7A5" w14:textId="77777777" w:rsidR="00D72358" w:rsidRPr="00321AF2" w:rsidRDefault="00D72358" w:rsidP="00D72358">
      <w:pPr>
        <w:pStyle w:val="Head2"/>
      </w:pPr>
      <w:bookmarkStart w:id="19" w:name="_Toc173083654"/>
      <w:r w:rsidRPr="00321AF2">
        <w:t>Measuring Success and Emerging Risks</w:t>
      </w:r>
      <w:bookmarkEnd w:id="19"/>
    </w:p>
    <w:p w14:paraId="0EE14A42" w14:textId="77777777" w:rsidR="00D72358" w:rsidRPr="00321AF2" w:rsidRDefault="00D72358" w:rsidP="00D72358">
      <w:pPr>
        <w:pStyle w:val="ListParagraph"/>
        <w:numPr>
          <w:ilvl w:val="0"/>
          <w:numId w:val="22"/>
        </w:numPr>
        <w:spacing w:line="480" w:lineRule="auto"/>
        <w:rPr>
          <w:rFonts w:ascii="Times New Roman" w:hAnsi="Times New Roman" w:cs="Times New Roman"/>
        </w:rPr>
      </w:pPr>
      <w:r w:rsidRPr="00321AF2">
        <w:rPr>
          <w:rFonts w:ascii="Times New Roman" w:hAnsi="Times New Roman" w:cs="Times New Roman"/>
        </w:rPr>
        <w:t>Key Performance Indicators (KPIs): Establish KPIs to measure the effectiveness of the cybersecurity strategy.</w:t>
      </w:r>
    </w:p>
    <w:p w14:paraId="73EA8AFC" w14:textId="77777777" w:rsidR="00D72358" w:rsidRPr="00321AF2" w:rsidRDefault="00D72358" w:rsidP="00D72358">
      <w:pPr>
        <w:pStyle w:val="ListParagraph"/>
        <w:numPr>
          <w:ilvl w:val="0"/>
          <w:numId w:val="22"/>
        </w:numPr>
        <w:spacing w:line="480" w:lineRule="auto"/>
        <w:rPr>
          <w:rFonts w:ascii="Times New Roman" w:hAnsi="Times New Roman" w:cs="Times New Roman"/>
        </w:rPr>
      </w:pPr>
      <w:r w:rsidRPr="00321AF2">
        <w:rPr>
          <w:rFonts w:ascii="Times New Roman" w:hAnsi="Times New Roman" w:cs="Times New Roman"/>
        </w:rPr>
        <w:lastRenderedPageBreak/>
        <w:t>Incident Response Metrics: Track metrics related to incident response, such as the time taken to detect, respond to, and recover from a breach, to assess the efficiency of the incident response plan.</w:t>
      </w:r>
    </w:p>
    <w:p w14:paraId="07E2CA8E" w14:textId="77777777" w:rsidR="00D72358" w:rsidRPr="00321AF2" w:rsidRDefault="00D72358" w:rsidP="00D72358">
      <w:pPr>
        <w:pStyle w:val="ListParagraph"/>
        <w:numPr>
          <w:ilvl w:val="0"/>
          <w:numId w:val="22"/>
        </w:numPr>
        <w:spacing w:line="480" w:lineRule="auto"/>
        <w:rPr>
          <w:rFonts w:ascii="Times New Roman" w:hAnsi="Times New Roman" w:cs="Times New Roman"/>
        </w:rPr>
      </w:pPr>
      <w:r w:rsidRPr="00321AF2">
        <w:rPr>
          <w:rFonts w:ascii="Times New Roman" w:hAnsi="Times New Roman" w:cs="Times New Roman"/>
        </w:rPr>
        <w:t>Regular Security Assessments: Conduct regular security assessments and risk evaluations to identify new vulnerabilities and emerging threats, using both automated tools and manual reviews.</w:t>
      </w:r>
    </w:p>
    <w:p w14:paraId="2281575F" w14:textId="77777777" w:rsidR="00D72358" w:rsidRPr="00321AF2" w:rsidRDefault="00D72358" w:rsidP="00D72358">
      <w:pPr>
        <w:pStyle w:val="ListParagraph"/>
        <w:numPr>
          <w:ilvl w:val="0"/>
          <w:numId w:val="22"/>
        </w:numPr>
        <w:spacing w:line="480" w:lineRule="auto"/>
        <w:rPr>
          <w:rFonts w:ascii="Times New Roman" w:hAnsi="Times New Roman" w:cs="Times New Roman"/>
        </w:rPr>
      </w:pPr>
      <w:r w:rsidRPr="00321AF2">
        <w:rPr>
          <w:rFonts w:ascii="Times New Roman" w:hAnsi="Times New Roman" w:cs="Times New Roman"/>
        </w:rPr>
        <w:t>Employee Training Effectiveness: Measure the effectiveness of training programs through simulated phishing attacks and social engineering tests, monitoring improvements in employee awareness and response.</w:t>
      </w:r>
    </w:p>
    <w:p w14:paraId="57018A50" w14:textId="77777777" w:rsidR="00D72358" w:rsidRPr="00321AF2" w:rsidRDefault="00D72358" w:rsidP="00D72358">
      <w:pPr>
        <w:pStyle w:val="ListParagraph"/>
        <w:numPr>
          <w:ilvl w:val="0"/>
          <w:numId w:val="22"/>
        </w:numPr>
        <w:spacing w:line="480" w:lineRule="auto"/>
        <w:rPr>
          <w:rFonts w:ascii="Times New Roman" w:hAnsi="Times New Roman" w:cs="Times New Roman"/>
        </w:rPr>
      </w:pPr>
      <w:r w:rsidRPr="00321AF2">
        <w:rPr>
          <w:rFonts w:ascii="Times New Roman" w:hAnsi="Times New Roman" w:cs="Times New Roman"/>
        </w:rPr>
        <w:t>Audit and Compliance Reviews: Regularly review audit and compliance reports to ensure ongoing adherence to regulatory requirements and internal policies.</w:t>
      </w:r>
    </w:p>
    <w:p w14:paraId="7123FEBE" w14:textId="77777777" w:rsidR="00D72358" w:rsidRPr="00321AF2" w:rsidRDefault="00D72358" w:rsidP="00D72358">
      <w:pPr>
        <w:spacing w:line="480" w:lineRule="auto"/>
        <w:rPr>
          <w:rFonts w:ascii="Times New Roman" w:hAnsi="Times New Roman" w:cs="Times New Roman"/>
        </w:rPr>
      </w:pPr>
      <w:r w:rsidRPr="00321AF2">
        <w:rPr>
          <w:rFonts w:ascii="Times New Roman" w:hAnsi="Times New Roman" w:cs="Times New Roman"/>
        </w:rPr>
        <w:t>Implementing this multi-faceted strategy ensures a proactive approach to cybersecurity, minimizing the risk of data breaches and enhancing the organization’s ability to respond effectively to emerging threats.</w:t>
      </w:r>
    </w:p>
    <w:p w14:paraId="1FD060FC" w14:textId="77777777" w:rsidR="00530733" w:rsidRPr="00321AF2" w:rsidRDefault="00530733" w:rsidP="00D72358">
      <w:pPr>
        <w:spacing w:line="480" w:lineRule="auto"/>
        <w:rPr>
          <w:rFonts w:ascii="Times New Roman" w:hAnsi="Times New Roman" w:cs="Times New Roman"/>
        </w:rPr>
      </w:pPr>
    </w:p>
    <w:p w14:paraId="4A19C21E" w14:textId="77777777" w:rsidR="00530733" w:rsidRPr="00321AF2" w:rsidRDefault="00530733" w:rsidP="00D72358">
      <w:pPr>
        <w:spacing w:line="480" w:lineRule="auto"/>
        <w:rPr>
          <w:rFonts w:ascii="Times New Roman" w:hAnsi="Times New Roman" w:cs="Times New Roman"/>
        </w:rPr>
      </w:pPr>
    </w:p>
    <w:p w14:paraId="748EE79B" w14:textId="77777777" w:rsidR="00530733" w:rsidRPr="00321AF2" w:rsidRDefault="00530733" w:rsidP="00D72358">
      <w:pPr>
        <w:spacing w:line="480" w:lineRule="auto"/>
        <w:rPr>
          <w:rFonts w:ascii="Times New Roman" w:hAnsi="Times New Roman" w:cs="Times New Roman"/>
        </w:rPr>
      </w:pPr>
    </w:p>
    <w:p w14:paraId="32344BE9" w14:textId="77777777" w:rsidR="00530733" w:rsidRPr="00321AF2" w:rsidRDefault="00530733" w:rsidP="00D72358">
      <w:pPr>
        <w:spacing w:line="480" w:lineRule="auto"/>
        <w:rPr>
          <w:rFonts w:ascii="Times New Roman" w:hAnsi="Times New Roman" w:cs="Times New Roman"/>
        </w:rPr>
      </w:pPr>
    </w:p>
    <w:p w14:paraId="0E3BDB02" w14:textId="77777777" w:rsidR="00530733" w:rsidRPr="00321AF2" w:rsidRDefault="00530733" w:rsidP="00D72358">
      <w:pPr>
        <w:spacing w:line="480" w:lineRule="auto"/>
        <w:rPr>
          <w:rFonts w:ascii="Times New Roman" w:hAnsi="Times New Roman" w:cs="Times New Roman"/>
        </w:rPr>
      </w:pPr>
    </w:p>
    <w:p w14:paraId="1DF1C148" w14:textId="77777777" w:rsidR="00530733" w:rsidRPr="00321AF2" w:rsidRDefault="00530733" w:rsidP="00D72358">
      <w:pPr>
        <w:spacing w:line="480" w:lineRule="auto"/>
        <w:rPr>
          <w:rFonts w:ascii="Times New Roman" w:hAnsi="Times New Roman" w:cs="Times New Roman"/>
        </w:rPr>
      </w:pPr>
    </w:p>
    <w:p w14:paraId="7096BBD6" w14:textId="77777777" w:rsidR="00530733" w:rsidRPr="00321AF2" w:rsidRDefault="00530733" w:rsidP="00D72358">
      <w:pPr>
        <w:spacing w:line="480" w:lineRule="auto"/>
        <w:rPr>
          <w:rFonts w:ascii="Times New Roman" w:hAnsi="Times New Roman" w:cs="Times New Roman"/>
        </w:rPr>
      </w:pPr>
    </w:p>
    <w:p w14:paraId="59F1EA1D" w14:textId="77777777" w:rsidR="00530733" w:rsidRPr="00321AF2" w:rsidRDefault="00530733" w:rsidP="00D72358">
      <w:pPr>
        <w:spacing w:line="480" w:lineRule="auto"/>
        <w:rPr>
          <w:rFonts w:ascii="Times New Roman" w:hAnsi="Times New Roman" w:cs="Times New Roman"/>
        </w:rPr>
      </w:pPr>
    </w:p>
    <w:p w14:paraId="4BA741FD" w14:textId="77777777" w:rsidR="00530733" w:rsidRPr="00321AF2" w:rsidRDefault="00530733" w:rsidP="00D72358">
      <w:pPr>
        <w:spacing w:line="480" w:lineRule="auto"/>
        <w:rPr>
          <w:rFonts w:ascii="Times New Roman" w:hAnsi="Times New Roman" w:cs="Times New Roman"/>
        </w:rPr>
      </w:pPr>
    </w:p>
    <w:p w14:paraId="64E162AC" w14:textId="77777777" w:rsidR="00530733" w:rsidRPr="00321AF2" w:rsidRDefault="00530733" w:rsidP="00D72358">
      <w:pPr>
        <w:spacing w:line="480" w:lineRule="auto"/>
        <w:rPr>
          <w:rFonts w:ascii="Times New Roman" w:hAnsi="Times New Roman" w:cs="Times New Roman"/>
        </w:rPr>
      </w:pPr>
    </w:p>
    <w:p w14:paraId="293698D9" w14:textId="61406E67" w:rsidR="00530733" w:rsidRPr="00321AF2" w:rsidRDefault="00530733" w:rsidP="00530733">
      <w:pPr>
        <w:pStyle w:val="Head1"/>
      </w:pPr>
      <w:bookmarkStart w:id="20" w:name="_Toc173083655"/>
      <w:r w:rsidRPr="00321AF2">
        <w:lastRenderedPageBreak/>
        <w:t>References</w:t>
      </w:r>
      <w:bookmarkEnd w:id="20"/>
    </w:p>
    <w:p w14:paraId="0E89DE05" w14:textId="77777777" w:rsidR="00530733" w:rsidRPr="00321AF2" w:rsidRDefault="00530733" w:rsidP="00530733">
      <w:pPr>
        <w:pStyle w:val="NormalWeb"/>
        <w:numPr>
          <w:ilvl w:val="0"/>
          <w:numId w:val="24"/>
        </w:numPr>
        <w:spacing w:before="0" w:beforeAutospacing="0" w:after="0" w:afterAutospacing="0" w:line="480" w:lineRule="auto"/>
      </w:pPr>
      <w:r w:rsidRPr="00321AF2">
        <w:t xml:space="preserve">“Data Protection: Actions Taken by Equifax and Federal Agencies in Response to the 2017 Breach.” n.d. U.S. GAO. </w:t>
      </w:r>
      <w:r w:rsidRPr="00321AF2">
        <w:rPr>
          <w:rStyle w:val="url"/>
        </w:rPr>
        <w:t>https://www.gao.gov/products/gao-18-559#:~:text=The%20Equifax%20breach%20resulted%20in,at%20least%20145.5%20million%20individuals.</w:t>
      </w:r>
    </w:p>
    <w:p w14:paraId="4EF25525" w14:textId="77777777" w:rsidR="00530733" w:rsidRPr="00321AF2" w:rsidRDefault="00530733" w:rsidP="00530733">
      <w:pPr>
        <w:pStyle w:val="NormalWeb"/>
        <w:numPr>
          <w:ilvl w:val="0"/>
          <w:numId w:val="24"/>
        </w:numPr>
        <w:spacing w:before="0" w:beforeAutospacing="0" w:after="0" w:afterAutospacing="0" w:line="480" w:lineRule="auto"/>
      </w:pPr>
      <w:r w:rsidRPr="00321AF2">
        <w:t xml:space="preserve">Leonhardt, Megan. 2019. “Equifax to Pay $700 Million for Massive Data Breach. Here’s What You Need to Know About Getting a Cut.” CNBC. July 23, 2019. </w:t>
      </w:r>
      <w:r w:rsidRPr="00321AF2">
        <w:rPr>
          <w:rStyle w:val="url"/>
        </w:rPr>
        <w:t>https://www.cnbc.com/2019/07/22/what-you-need-to-know-equifax-data-breach-700-million-settlement.html</w:t>
      </w:r>
      <w:r w:rsidRPr="00321AF2">
        <w:t>.</w:t>
      </w:r>
    </w:p>
    <w:p w14:paraId="468B32EE" w14:textId="77777777" w:rsidR="00530733" w:rsidRPr="00321AF2" w:rsidRDefault="00530733" w:rsidP="00530733">
      <w:pPr>
        <w:pStyle w:val="NormalWeb"/>
        <w:numPr>
          <w:ilvl w:val="0"/>
          <w:numId w:val="24"/>
        </w:numPr>
        <w:spacing w:before="0" w:beforeAutospacing="0" w:after="0" w:afterAutospacing="0" w:line="480" w:lineRule="auto"/>
      </w:pPr>
      <w:r w:rsidRPr="00321AF2">
        <w:t xml:space="preserve">Kara. 2021. “Case Study: Equifax Data Breach - Seven Pillars Institute.” Seven Pillars Institute. April 30, 2021. </w:t>
      </w:r>
      <w:r w:rsidRPr="00321AF2">
        <w:rPr>
          <w:rStyle w:val="url"/>
        </w:rPr>
        <w:t>https://sevenpillarsinstitute.org/case-study-equifax-data-breach/</w:t>
      </w:r>
      <w:r w:rsidRPr="00321AF2">
        <w:t>.</w:t>
      </w:r>
    </w:p>
    <w:p w14:paraId="251974F7" w14:textId="77777777" w:rsidR="00530733" w:rsidRPr="00321AF2" w:rsidRDefault="00530733" w:rsidP="00530733">
      <w:pPr>
        <w:pStyle w:val="NormalWeb"/>
        <w:numPr>
          <w:ilvl w:val="0"/>
          <w:numId w:val="24"/>
        </w:numPr>
        <w:spacing w:before="0" w:beforeAutospacing="0" w:after="0" w:afterAutospacing="0" w:line="480" w:lineRule="auto"/>
      </w:pPr>
      <w:r w:rsidRPr="00321AF2">
        <w:t xml:space="preserve">“Equifax Data Breach Settlement.” 2024. Federal Trade Commission. July 24, 2024. </w:t>
      </w:r>
      <w:r w:rsidRPr="00321AF2">
        <w:rPr>
          <w:rStyle w:val="url"/>
        </w:rPr>
        <w:t>https://www.ftc.gov/enforcement/refunds/equifax-data-breach-settlement</w:t>
      </w:r>
      <w:r w:rsidRPr="00321AF2">
        <w:t>.</w:t>
      </w:r>
    </w:p>
    <w:p w14:paraId="362D2337" w14:textId="77777777" w:rsidR="00530733" w:rsidRPr="00321AF2" w:rsidRDefault="00530733" w:rsidP="00530733">
      <w:pPr>
        <w:pStyle w:val="NormalWeb"/>
        <w:numPr>
          <w:ilvl w:val="0"/>
          <w:numId w:val="24"/>
        </w:numPr>
        <w:spacing w:before="0" w:beforeAutospacing="0" w:after="0" w:afterAutospacing="0" w:line="480" w:lineRule="auto"/>
      </w:pPr>
      <w:r w:rsidRPr="00321AF2">
        <w:t xml:space="preserve">Wikipedia contributors. 2024. “2017 Equifax Data Breach.” Wikipedia. June 29, 2024. </w:t>
      </w:r>
      <w:r w:rsidRPr="00321AF2">
        <w:rPr>
          <w:rStyle w:val="url"/>
        </w:rPr>
        <w:t>https://en.wikipedia.org/wiki/2017_Equifax_data_breach</w:t>
      </w:r>
      <w:r w:rsidRPr="00321AF2">
        <w:t>.</w:t>
      </w:r>
    </w:p>
    <w:p w14:paraId="18039F82" w14:textId="77777777" w:rsidR="00530733" w:rsidRPr="00321AF2" w:rsidRDefault="00530733" w:rsidP="00530733">
      <w:pPr>
        <w:pStyle w:val="NormalWeb"/>
        <w:numPr>
          <w:ilvl w:val="0"/>
          <w:numId w:val="24"/>
        </w:numPr>
        <w:spacing w:before="0" w:beforeAutospacing="0" w:after="0" w:afterAutospacing="0" w:line="480" w:lineRule="auto"/>
      </w:pPr>
      <w:r w:rsidRPr="00321AF2">
        <w:t xml:space="preserve">Fruhlinger, Josh. 2023. “Equifax Data Breach FAQ: What Happened, Who Was Affected, What Was the Impact?” CSO Online. June 28, 2023. </w:t>
      </w:r>
      <w:r w:rsidRPr="00321AF2">
        <w:rPr>
          <w:rStyle w:val="url"/>
        </w:rPr>
        <w:t>https://www.csoonline.com/article/567833/equifax-data-breach-faq-what-happened-who-was-affected-what-was-the-impact.html</w:t>
      </w:r>
      <w:r w:rsidRPr="00321AF2">
        <w:t>.</w:t>
      </w:r>
    </w:p>
    <w:p w14:paraId="2A1BA951" w14:textId="4DED2655" w:rsidR="00530733" w:rsidRPr="00321AF2" w:rsidRDefault="00530733" w:rsidP="00530733">
      <w:pPr>
        <w:pStyle w:val="ListParagraph"/>
        <w:ind w:left="360"/>
        <w:rPr>
          <w:rFonts w:ascii="Times New Roman" w:hAnsi="Times New Roman" w:cs="Times New Roman"/>
          <w:sz w:val="24"/>
          <w:szCs w:val="24"/>
        </w:rPr>
      </w:pPr>
    </w:p>
    <w:p w14:paraId="0C713E71" w14:textId="77777777" w:rsidR="00530733" w:rsidRPr="00321AF2" w:rsidRDefault="00530733" w:rsidP="00530733">
      <w:pPr>
        <w:pStyle w:val="ListParagraph"/>
        <w:ind w:left="360"/>
        <w:rPr>
          <w:rFonts w:ascii="Times New Roman" w:hAnsi="Times New Roman" w:cs="Times New Roman"/>
          <w:sz w:val="24"/>
          <w:szCs w:val="24"/>
        </w:rPr>
      </w:pPr>
    </w:p>
    <w:p w14:paraId="7D52CCB1" w14:textId="77777777" w:rsidR="00530733" w:rsidRPr="00321AF2" w:rsidRDefault="00530733" w:rsidP="00530733">
      <w:pPr>
        <w:pStyle w:val="ListParagraph"/>
        <w:ind w:left="360"/>
        <w:rPr>
          <w:rFonts w:ascii="Times New Roman" w:hAnsi="Times New Roman" w:cs="Times New Roman"/>
          <w:sz w:val="24"/>
          <w:szCs w:val="24"/>
        </w:rPr>
      </w:pPr>
    </w:p>
    <w:p w14:paraId="12E0EAE3" w14:textId="77777777" w:rsidR="00530733" w:rsidRPr="00321AF2" w:rsidRDefault="00530733" w:rsidP="00530733">
      <w:pPr>
        <w:pStyle w:val="ListParagraph"/>
        <w:ind w:left="360"/>
        <w:rPr>
          <w:rFonts w:ascii="Times New Roman" w:hAnsi="Times New Roman" w:cs="Times New Roman"/>
          <w:sz w:val="24"/>
          <w:szCs w:val="24"/>
        </w:rPr>
      </w:pPr>
    </w:p>
    <w:p w14:paraId="60651BF2" w14:textId="77777777" w:rsidR="00530733" w:rsidRPr="00321AF2" w:rsidRDefault="00530733" w:rsidP="00530733">
      <w:pPr>
        <w:pStyle w:val="ListParagraph"/>
        <w:ind w:left="360"/>
        <w:rPr>
          <w:rFonts w:ascii="Times New Roman" w:hAnsi="Times New Roman" w:cs="Times New Roman"/>
          <w:sz w:val="24"/>
          <w:szCs w:val="24"/>
        </w:rPr>
      </w:pPr>
    </w:p>
    <w:p w14:paraId="40473249" w14:textId="77777777" w:rsidR="00530733" w:rsidRPr="00321AF2" w:rsidRDefault="00530733" w:rsidP="00530733">
      <w:pPr>
        <w:pStyle w:val="ListParagraph"/>
        <w:ind w:left="360"/>
        <w:rPr>
          <w:rFonts w:ascii="Times New Roman" w:hAnsi="Times New Roman" w:cs="Times New Roman"/>
          <w:sz w:val="24"/>
          <w:szCs w:val="24"/>
        </w:rPr>
      </w:pPr>
    </w:p>
    <w:p w14:paraId="4F26CF21" w14:textId="77777777" w:rsidR="00530733" w:rsidRPr="00321AF2" w:rsidRDefault="00530733" w:rsidP="00530733">
      <w:pPr>
        <w:pStyle w:val="ListParagraph"/>
        <w:ind w:left="360"/>
        <w:rPr>
          <w:rFonts w:ascii="Times New Roman" w:hAnsi="Times New Roman" w:cs="Times New Roman"/>
          <w:sz w:val="24"/>
          <w:szCs w:val="24"/>
        </w:rPr>
      </w:pPr>
    </w:p>
    <w:p w14:paraId="53D70841" w14:textId="77777777" w:rsidR="00530733" w:rsidRPr="00321AF2" w:rsidRDefault="00530733" w:rsidP="00530733">
      <w:pPr>
        <w:pStyle w:val="ListParagraph"/>
        <w:ind w:left="360"/>
        <w:rPr>
          <w:rFonts w:ascii="Times New Roman" w:hAnsi="Times New Roman" w:cs="Times New Roman"/>
          <w:sz w:val="24"/>
          <w:szCs w:val="24"/>
        </w:rPr>
      </w:pPr>
    </w:p>
    <w:p w14:paraId="599155C7" w14:textId="77777777" w:rsidR="00530733" w:rsidRPr="00321AF2" w:rsidRDefault="00530733" w:rsidP="00530733">
      <w:pPr>
        <w:pStyle w:val="ListParagraph"/>
        <w:ind w:left="360"/>
        <w:rPr>
          <w:rFonts w:ascii="Times New Roman" w:hAnsi="Times New Roman" w:cs="Times New Roman"/>
          <w:sz w:val="24"/>
          <w:szCs w:val="24"/>
        </w:rPr>
      </w:pPr>
    </w:p>
    <w:p w14:paraId="59BA9A3A" w14:textId="77777777" w:rsidR="00530733" w:rsidRPr="00321AF2" w:rsidRDefault="00530733" w:rsidP="00530733">
      <w:pPr>
        <w:pStyle w:val="ListParagraph"/>
        <w:ind w:left="360"/>
        <w:rPr>
          <w:rFonts w:ascii="Times New Roman" w:hAnsi="Times New Roman" w:cs="Times New Roman"/>
          <w:sz w:val="24"/>
          <w:szCs w:val="24"/>
        </w:rPr>
      </w:pPr>
    </w:p>
    <w:p w14:paraId="45A1DB0D" w14:textId="77777777" w:rsidR="00530733" w:rsidRPr="00321AF2" w:rsidRDefault="00530733" w:rsidP="00530733">
      <w:pPr>
        <w:pStyle w:val="ListParagraph"/>
        <w:ind w:left="360"/>
        <w:rPr>
          <w:rFonts w:ascii="Times New Roman" w:hAnsi="Times New Roman" w:cs="Times New Roman"/>
          <w:sz w:val="24"/>
          <w:szCs w:val="24"/>
        </w:rPr>
      </w:pPr>
    </w:p>
    <w:p w14:paraId="33CD5B1F" w14:textId="18E6124E" w:rsidR="00530733" w:rsidRPr="00321AF2" w:rsidRDefault="00321AF2" w:rsidP="00530733">
      <w:pPr>
        <w:pStyle w:val="Head1"/>
      </w:pPr>
      <w:bookmarkStart w:id="21" w:name="_Toc173083656"/>
      <w:r w:rsidRPr="00321AF2">
        <w:lastRenderedPageBreak/>
        <w:t>Teamwork</w:t>
      </w:r>
      <w:bookmarkEnd w:id="21"/>
    </w:p>
    <w:p w14:paraId="7A7346F5" w14:textId="77777777" w:rsidR="00321AF2" w:rsidRPr="00321AF2" w:rsidRDefault="00321AF2" w:rsidP="00321AF2">
      <w:pPr>
        <w:spacing w:line="480" w:lineRule="auto"/>
        <w:rPr>
          <w:rFonts w:ascii="Times New Roman" w:hAnsi="Times New Roman" w:cs="Times New Roman"/>
        </w:rPr>
      </w:pPr>
      <w:r w:rsidRPr="00321AF2">
        <w:rPr>
          <w:rFonts w:ascii="Times New Roman" w:hAnsi="Times New Roman" w:cs="Times New Roman"/>
          <w:sz w:val="24"/>
          <w:szCs w:val="24"/>
        </w:rPr>
        <w:t>In the meticulous preparation of this case study on the Equifax data breach, each team member's contributions were indispensable. Pooja delved into Equifax's background, documenting the events leading up to the breach, while Ezhil detailed how vulnerabilities were exploited and the subsequent consumer impact. Pritam examined the aftermath, analyzing legal and financial penalties and long-term reputational damage. Sowjanya scrutinized the legislative landscape, evaluating the sufficiency of data protection laws before and after the breach. At the helm, Ritesh spearheaded recommendations for minimizing data breach risks, incorporating policies, technology, and oversight measures, and ensured the report's coherence. His leadership was crucial in synthesizing the team's findings into a unified analysis, highlighting systemic failures and outlining essential steps for future risk mitigation.</w:t>
      </w:r>
    </w:p>
    <w:p w14:paraId="6B5CAB8E" w14:textId="77777777" w:rsidR="00321AF2" w:rsidRPr="00321AF2" w:rsidRDefault="00321AF2" w:rsidP="00321AF2">
      <w:pPr>
        <w:rPr>
          <w:rFonts w:ascii="Times New Roman" w:hAnsi="Times New Roman" w:cs="Times New Roman"/>
          <w:sz w:val="24"/>
          <w:szCs w:val="24"/>
        </w:rPr>
      </w:pPr>
    </w:p>
    <w:p w14:paraId="7330502D" w14:textId="77777777" w:rsidR="00530733" w:rsidRPr="00321AF2" w:rsidRDefault="00530733" w:rsidP="00530733">
      <w:pPr>
        <w:rPr>
          <w:rFonts w:ascii="Times New Roman" w:hAnsi="Times New Roman" w:cs="Times New Roman"/>
          <w:sz w:val="24"/>
          <w:szCs w:val="24"/>
        </w:rPr>
      </w:pPr>
    </w:p>
    <w:p w14:paraId="45FC1511" w14:textId="77777777" w:rsidR="00530733" w:rsidRPr="00321AF2" w:rsidRDefault="00530733" w:rsidP="00D72358">
      <w:pPr>
        <w:spacing w:line="480" w:lineRule="auto"/>
        <w:rPr>
          <w:rFonts w:ascii="Times New Roman" w:hAnsi="Times New Roman" w:cs="Times New Roman"/>
        </w:rPr>
      </w:pPr>
    </w:p>
    <w:p w14:paraId="5D7CB084" w14:textId="77777777" w:rsidR="008921FA" w:rsidRPr="00321AF2" w:rsidRDefault="008921FA" w:rsidP="00283E72">
      <w:pPr>
        <w:spacing w:line="480" w:lineRule="auto"/>
        <w:rPr>
          <w:rFonts w:ascii="Times New Roman" w:hAnsi="Times New Roman" w:cs="Times New Roman"/>
        </w:rPr>
      </w:pPr>
    </w:p>
    <w:p w14:paraId="013985C0" w14:textId="77777777" w:rsidR="00283E72" w:rsidRPr="00321AF2" w:rsidRDefault="00283E72" w:rsidP="00000A47">
      <w:pPr>
        <w:spacing w:line="480" w:lineRule="auto"/>
        <w:rPr>
          <w:rFonts w:ascii="Times New Roman" w:hAnsi="Times New Roman" w:cs="Times New Roman"/>
          <w:sz w:val="24"/>
          <w:szCs w:val="24"/>
        </w:rPr>
      </w:pPr>
    </w:p>
    <w:p w14:paraId="521AC837" w14:textId="77777777" w:rsidR="00907E51" w:rsidRPr="00321AF2" w:rsidRDefault="00907E51" w:rsidP="005D0512">
      <w:pPr>
        <w:spacing w:line="480" w:lineRule="auto"/>
        <w:rPr>
          <w:rFonts w:ascii="Times New Roman" w:hAnsi="Times New Roman" w:cs="Times New Roman"/>
          <w:sz w:val="24"/>
          <w:szCs w:val="24"/>
        </w:rPr>
      </w:pPr>
    </w:p>
    <w:p w14:paraId="4C7F5880" w14:textId="77777777" w:rsidR="00907E51" w:rsidRPr="00321AF2" w:rsidRDefault="00907E51" w:rsidP="005D0512">
      <w:pPr>
        <w:spacing w:line="480" w:lineRule="auto"/>
        <w:rPr>
          <w:rFonts w:ascii="Times New Roman" w:hAnsi="Times New Roman" w:cs="Times New Roman"/>
          <w:sz w:val="24"/>
          <w:szCs w:val="24"/>
        </w:rPr>
      </w:pPr>
    </w:p>
    <w:p w14:paraId="3A22695C" w14:textId="77777777" w:rsidR="00907E51" w:rsidRPr="00321AF2" w:rsidRDefault="00907E51" w:rsidP="005D0512">
      <w:pPr>
        <w:spacing w:line="480" w:lineRule="auto"/>
        <w:rPr>
          <w:rFonts w:ascii="Times New Roman" w:hAnsi="Times New Roman" w:cs="Times New Roman"/>
          <w:sz w:val="24"/>
          <w:szCs w:val="24"/>
        </w:rPr>
      </w:pPr>
    </w:p>
    <w:p w14:paraId="4555D88C" w14:textId="77777777" w:rsidR="005D0512" w:rsidRPr="00321AF2" w:rsidRDefault="005D0512" w:rsidP="005D0512">
      <w:pPr>
        <w:spacing w:line="480" w:lineRule="auto"/>
        <w:rPr>
          <w:rFonts w:ascii="Times New Roman" w:hAnsi="Times New Roman" w:cs="Times New Roman"/>
          <w:sz w:val="24"/>
          <w:szCs w:val="24"/>
        </w:rPr>
      </w:pPr>
    </w:p>
    <w:p w14:paraId="096141EA" w14:textId="77777777" w:rsidR="005D0512" w:rsidRPr="00321AF2" w:rsidRDefault="005D0512" w:rsidP="005D0512">
      <w:pPr>
        <w:spacing w:line="480" w:lineRule="auto"/>
        <w:rPr>
          <w:rFonts w:ascii="Times New Roman" w:hAnsi="Times New Roman" w:cs="Times New Roman"/>
          <w:sz w:val="24"/>
          <w:szCs w:val="24"/>
        </w:rPr>
      </w:pPr>
    </w:p>
    <w:p w14:paraId="167A97AB" w14:textId="7B1BA7C8" w:rsidR="00D41B65" w:rsidRPr="00321AF2" w:rsidRDefault="00D41B65" w:rsidP="00D41B65">
      <w:pPr>
        <w:rPr>
          <w:rFonts w:ascii="Times New Roman" w:hAnsi="Times New Roman" w:cs="Times New Roman"/>
          <w:sz w:val="24"/>
          <w:szCs w:val="24"/>
        </w:rPr>
      </w:pPr>
    </w:p>
    <w:sectPr w:rsidR="00D41B65" w:rsidRPr="00321AF2" w:rsidSect="007B1D46">
      <w:headerReference w:type="default" r:id="rId8"/>
      <w:headerReference w:type="first" r:id="rId9"/>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99ADF" w14:textId="77777777" w:rsidR="00F22F2D" w:rsidRDefault="00F22F2D" w:rsidP="00AF54B0">
      <w:pPr>
        <w:spacing w:after="0" w:line="240" w:lineRule="auto"/>
      </w:pPr>
      <w:r>
        <w:separator/>
      </w:r>
    </w:p>
  </w:endnote>
  <w:endnote w:type="continuationSeparator" w:id="0">
    <w:p w14:paraId="14F29951" w14:textId="77777777" w:rsidR="00F22F2D" w:rsidRDefault="00F22F2D"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3D7A9" w14:textId="77777777" w:rsidR="00F22F2D" w:rsidRDefault="00F22F2D" w:rsidP="00AF54B0">
      <w:pPr>
        <w:spacing w:after="0" w:line="240" w:lineRule="auto"/>
      </w:pPr>
      <w:r>
        <w:separator/>
      </w:r>
    </w:p>
  </w:footnote>
  <w:footnote w:type="continuationSeparator" w:id="0">
    <w:p w14:paraId="5E060B11" w14:textId="77777777" w:rsidR="00F22F2D" w:rsidRDefault="00F22F2D"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B00BD"/>
    <w:multiLevelType w:val="hybridMultilevel"/>
    <w:tmpl w:val="9634B4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C05345"/>
    <w:multiLevelType w:val="hybridMultilevel"/>
    <w:tmpl w:val="36EEBE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E094C"/>
    <w:multiLevelType w:val="hybridMultilevel"/>
    <w:tmpl w:val="586CA16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0060ED6"/>
    <w:multiLevelType w:val="hybridMultilevel"/>
    <w:tmpl w:val="CDCA68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73956E7"/>
    <w:multiLevelType w:val="hybridMultilevel"/>
    <w:tmpl w:val="36301F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336401B"/>
    <w:multiLevelType w:val="hybridMultilevel"/>
    <w:tmpl w:val="D5C20A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7C4DD5"/>
    <w:multiLevelType w:val="hybridMultilevel"/>
    <w:tmpl w:val="58C4BD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DA2598E"/>
    <w:multiLevelType w:val="hybridMultilevel"/>
    <w:tmpl w:val="A3AA61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423B0B"/>
    <w:multiLevelType w:val="hybridMultilevel"/>
    <w:tmpl w:val="2CA8B0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72F4C29"/>
    <w:multiLevelType w:val="hybridMultilevel"/>
    <w:tmpl w:val="15060C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9512317"/>
    <w:multiLevelType w:val="hybridMultilevel"/>
    <w:tmpl w:val="CEE812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AE91655"/>
    <w:multiLevelType w:val="hybridMultilevel"/>
    <w:tmpl w:val="009493A4"/>
    <w:lvl w:ilvl="0" w:tplc="FFFFFFFF">
      <w:start w:val="1"/>
      <w:numFmt w:val="decimal"/>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D573EF4"/>
    <w:multiLevelType w:val="hybridMultilevel"/>
    <w:tmpl w:val="C4127C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7"/>
  </w:num>
  <w:num w:numId="2" w16cid:durableId="500125644">
    <w:abstractNumId w:val="6"/>
  </w:num>
  <w:num w:numId="3" w16cid:durableId="248007762">
    <w:abstractNumId w:val="20"/>
  </w:num>
  <w:num w:numId="4" w16cid:durableId="1250427728">
    <w:abstractNumId w:val="17"/>
  </w:num>
  <w:num w:numId="5" w16cid:durableId="1144273978">
    <w:abstractNumId w:val="11"/>
  </w:num>
  <w:num w:numId="6" w16cid:durableId="1443451606">
    <w:abstractNumId w:val="19"/>
  </w:num>
  <w:num w:numId="7" w16cid:durableId="1747533790">
    <w:abstractNumId w:val="21"/>
  </w:num>
  <w:num w:numId="8" w16cid:durableId="584997704">
    <w:abstractNumId w:val="14"/>
  </w:num>
  <w:num w:numId="9" w16cid:durableId="109975777">
    <w:abstractNumId w:val="23"/>
  </w:num>
  <w:num w:numId="10" w16cid:durableId="1797094066">
    <w:abstractNumId w:val="3"/>
  </w:num>
  <w:num w:numId="11" w16cid:durableId="44334352">
    <w:abstractNumId w:val="0"/>
  </w:num>
  <w:num w:numId="12" w16cid:durableId="730074983">
    <w:abstractNumId w:val="5"/>
  </w:num>
  <w:num w:numId="13" w16cid:durableId="399405649">
    <w:abstractNumId w:val="13"/>
  </w:num>
  <w:num w:numId="14" w16cid:durableId="614288568">
    <w:abstractNumId w:val="8"/>
  </w:num>
  <w:num w:numId="15" w16cid:durableId="1001470139">
    <w:abstractNumId w:val="9"/>
  </w:num>
  <w:num w:numId="16" w16cid:durableId="625432005">
    <w:abstractNumId w:val="12"/>
  </w:num>
  <w:num w:numId="17" w16cid:durableId="1401367887">
    <w:abstractNumId w:val="18"/>
  </w:num>
  <w:num w:numId="18" w16cid:durableId="1082798879">
    <w:abstractNumId w:val="22"/>
  </w:num>
  <w:num w:numId="19" w16cid:durableId="900602825">
    <w:abstractNumId w:val="4"/>
  </w:num>
  <w:num w:numId="20" w16cid:durableId="1165361199">
    <w:abstractNumId w:val="1"/>
  </w:num>
  <w:num w:numId="21" w16cid:durableId="999039254">
    <w:abstractNumId w:val="16"/>
  </w:num>
  <w:num w:numId="22" w16cid:durableId="1856770129">
    <w:abstractNumId w:val="2"/>
  </w:num>
  <w:num w:numId="23" w16cid:durableId="362288178">
    <w:abstractNumId w:val="10"/>
  </w:num>
  <w:num w:numId="24" w16cid:durableId="1929727645">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0A47"/>
    <w:rsid w:val="00001BC5"/>
    <w:rsid w:val="00004E16"/>
    <w:rsid w:val="00013FDE"/>
    <w:rsid w:val="00023FED"/>
    <w:rsid w:val="00032D8A"/>
    <w:rsid w:val="000336C4"/>
    <w:rsid w:val="000360CD"/>
    <w:rsid w:val="00036A60"/>
    <w:rsid w:val="0003753D"/>
    <w:rsid w:val="000442BD"/>
    <w:rsid w:val="00050CB1"/>
    <w:rsid w:val="00054807"/>
    <w:rsid w:val="00056FCC"/>
    <w:rsid w:val="00062F92"/>
    <w:rsid w:val="000668BE"/>
    <w:rsid w:val="00071A8E"/>
    <w:rsid w:val="0007277E"/>
    <w:rsid w:val="00073380"/>
    <w:rsid w:val="00073F5E"/>
    <w:rsid w:val="0008082A"/>
    <w:rsid w:val="00092BA0"/>
    <w:rsid w:val="000942F4"/>
    <w:rsid w:val="00096C60"/>
    <w:rsid w:val="000A2946"/>
    <w:rsid w:val="000A4EFB"/>
    <w:rsid w:val="000A75B3"/>
    <w:rsid w:val="000B10E1"/>
    <w:rsid w:val="000B53C0"/>
    <w:rsid w:val="000C5EAD"/>
    <w:rsid w:val="000D0462"/>
    <w:rsid w:val="000D31AA"/>
    <w:rsid w:val="000E2031"/>
    <w:rsid w:val="000E4467"/>
    <w:rsid w:val="000E5ABE"/>
    <w:rsid w:val="000F3AFB"/>
    <w:rsid w:val="000F55D8"/>
    <w:rsid w:val="001021DB"/>
    <w:rsid w:val="00116F6A"/>
    <w:rsid w:val="001212C6"/>
    <w:rsid w:val="00122186"/>
    <w:rsid w:val="001231B1"/>
    <w:rsid w:val="001339B8"/>
    <w:rsid w:val="00135569"/>
    <w:rsid w:val="00140982"/>
    <w:rsid w:val="00141644"/>
    <w:rsid w:val="001435EC"/>
    <w:rsid w:val="001536A0"/>
    <w:rsid w:val="001563B7"/>
    <w:rsid w:val="00157DD4"/>
    <w:rsid w:val="0016242C"/>
    <w:rsid w:val="00162569"/>
    <w:rsid w:val="00162DC7"/>
    <w:rsid w:val="00166601"/>
    <w:rsid w:val="0016773D"/>
    <w:rsid w:val="001701FA"/>
    <w:rsid w:val="00176271"/>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E88"/>
    <w:rsid w:val="002248AD"/>
    <w:rsid w:val="00235858"/>
    <w:rsid w:val="00236846"/>
    <w:rsid w:val="00240424"/>
    <w:rsid w:val="00247922"/>
    <w:rsid w:val="00251AC8"/>
    <w:rsid w:val="00255C8C"/>
    <w:rsid w:val="00260F23"/>
    <w:rsid w:val="00263A91"/>
    <w:rsid w:val="0026599F"/>
    <w:rsid w:val="002718FA"/>
    <w:rsid w:val="00275558"/>
    <w:rsid w:val="002755E4"/>
    <w:rsid w:val="002822EE"/>
    <w:rsid w:val="002828CF"/>
    <w:rsid w:val="002836D5"/>
    <w:rsid w:val="00283E72"/>
    <w:rsid w:val="0028528C"/>
    <w:rsid w:val="00285512"/>
    <w:rsid w:val="00286F31"/>
    <w:rsid w:val="00290C89"/>
    <w:rsid w:val="00291C95"/>
    <w:rsid w:val="00292EC1"/>
    <w:rsid w:val="002A40E1"/>
    <w:rsid w:val="002A737E"/>
    <w:rsid w:val="002A76CA"/>
    <w:rsid w:val="002B708C"/>
    <w:rsid w:val="002C145C"/>
    <w:rsid w:val="002C460F"/>
    <w:rsid w:val="002C4CD7"/>
    <w:rsid w:val="002C69A5"/>
    <w:rsid w:val="002D3723"/>
    <w:rsid w:val="002F0E48"/>
    <w:rsid w:val="002F1711"/>
    <w:rsid w:val="002F2185"/>
    <w:rsid w:val="002F3680"/>
    <w:rsid w:val="0030143C"/>
    <w:rsid w:val="0030454D"/>
    <w:rsid w:val="0031423D"/>
    <w:rsid w:val="00315851"/>
    <w:rsid w:val="003200DD"/>
    <w:rsid w:val="00321AF2"/>
    <w:rsid w:val="00324681"/>
    <w:rsid w:val="00325E12"/>
    <w:rsid w:val="0033375C"/>
    <w:rsid w:val="00335216"/>
    <w:rsid w:val="00341E79"/>
    <w:rsid w:val="00356774"/>
    <w:rsid w:val="00381037"/>
    <w:rsid w:val="003824C0"/>
    <w:rsid w:val="00383880"/>
    <w:rsid w:val="0039131D"/>
    <w:rsid w:val="003916BC"/>
    <w:rsid w:val="003A1115"/>
    <w:rsid w:val="003A469B"/>
    <w:rsid w:val="003B6C1E"/>
    <w:rsid w:val="003C2BBF"/>
    <w:rsid w:val="003C56A6"/>
    <w:rsid w:val="003C573A"/>
    <w:rsid w:val="003C7C8C"/>
    <w:rsid w:val="003D2E27"/>
    <w:rsid w:val="003D5243"/>
    <w:rsid w:val="003D6183"/>
    <w:rsid w:val="003E0E48"/>
    <w:rsid w:val="003E1CE1"/>
    <w:rsid w:val="00401559"/>
    <w:rsid w:val="00402902"/>
    <w:rsid w:val="004173CA"/>
    <w:rsid w:val="0042573D"/>
    <w:rsid w:val="00430B3F"/>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5705"/>
    <w:rsid w:val="00481860"/>
    <w:rsid w:val="004B33ED"/>
    <w:rsid w:val="004B3B1C"/>
    <w:rsid w:val="004C22F5"/>
    <w:rsid w:val="004C6EDD"/>
    <w:rsid w:val="004E2777"/>
    <w:rsid w:val="004E645D"/>
    <w:rsid w:val="004E72A1"/>
    <w:rsid w:val="004F15F8"/>
    <w:rsid w:val="00501A81"/>
    <w:rsid w:val="0051281D"/>
    <w:rsid w:val="005150BA"/>
    <w:rsid w:val="00527EC3"/>
    <w:rsid w:val="00530733"/>
    <w:rsid w:val="00531265"/>
    <w:rsid w:val="005335E6"/>
    <w:rsid w:val="0054515D"/>
    <w:rsid w:val="005519C7"/>
    <w:rsid w:val="0055248F"/>
    <w:rsid w:val="00554E2F"/>
    <w:rsid w:val="005579C3"/>
    <w:rsid w:val="005609A0"/>
    <w:rsid w:val="00560B92"/>
    <w:rsid w:val="00563977"/>
    <w:rsid w:val="00564D0E"/>
    <w:rsid w:val="00572251"/>
    <w:rsid w:val="0058345F"/>
    <w:rsid w:val="005852E1"/>
    <w:rsid w:val="005926EB"/>
    <w:rsid w:val="005970B7"/>
    <w:rsid w:val="005A12BB"/>
    <w:rsid w:val="005A289F"/>
    <w:rsid w:val="005A2E92"/>
    <w:rsid w:val="005A41F8"/>
    <w:rsid w:val="005A541E"/>
    <w:rsid w:val="005B0FA3"/>
    <w:rsid w:val="005C2CB9"/>
    <w:rsid w:val="005C40B5"/>
    <w:rsid w:val="005C5931"/>
    <w:rsid w:val="005C7AF4"/>
    <w:rsid w:val="005D0512"/>
    <w:rsid w:val="005D0DEE"/>
    <w:rsid w:val="005E0DC1"/>
    <w:rsid w:val="005F03FA"/>
    <w:rsid w:val="005F1F73"/>
    <w:rsid w:val="005F4350"/>
    <w:rsid w:val="0060178B"/>
    <w:rsid w:val="006032EA"/>
    <w:rsid w:val="0060558B"/>
    <w:rsid w:val="00607A6C"/>
    <w:rsid w:val="00616E5A"/>
    <w:rsid w:val="00617DAC"/>
    <w:rsid w:val="00630214"/>
    <w:rsid w:val="006313BA"/>
    <w:rsid w:val="00635C10"/>
    <w:rsid w:val="00643226"/>
    <w:rsid w:val="006441DC"/>
    <w:rsid w:val="0064684C"/>
    <w:rsid w:val="00647672"/>
    <w:rsid w:val="00662945"/>
    <w:rsid w:val="00665B14"/>
    <w:rsid w:val="00665C87"/>
    <w:rsid w:val="006664B2"/>
    <w:rsid w:val="00670C39"/>
    <w:rsid w:val="0067256E"/>
    <w:rsid w:val="00673CE1"/>
    <w:rsid w:val="006741F2"/>
    <w:rsid w:val="006747B0"/>
    <w:rsid w:val="00675926"/>
    <w:rsid w:val="00690327"/>
    <w:rsid w:val="00690655"/>
    <w:rsid w:val="006907E2"/>
    <w:rsid w:val="006925C3"/>
    <w:rsid w:val="006931A3"/>
    <w:rsid w:val="006948FF"/>
    <w:rsid w:val="00697901"/>
    <w:rsid w:val="006A7F7C"/>
    <w:rsid w:val="006B103A"/>
    <w:rsid w:val="006B795A"/>
    <w:rsid w:val="006C1259"/>
    <w:rsid w:val="006C2FF1"/>
    <w:rsid w:val="006C3F7D"/>
    <w:rsid w:val="006C47AC"/>
    <w:rsid w:val="006C7B57"/>
    <w:rsid w:val="00701C5D"/>
    <w:rsid w:val="00703B78"/>
    <w:rsid w:val="00707C59"/>
    <w:rsid w:val="00707FD2"/>
    <w:rsid w:val="007131DF"/>
    <w:rsid w:val="00715C15"/>
    <w:rsid w:val="007241E1"/>
    <w:rsid w:val="0072459D"/>
    <w:rsid w:val="00725021"/>
    <w:rsid w:val="00725144"/>
    <w:rsid w:val="00732636"/>
    <w:rsid w:val="00735C95"/>
    <w:rsid w:val="00740B03"/>
    <w:rsid w:val="00740B44"/>
    <w:rsid w:val="007428D3"/>
    <w:rsid w:val="00743D39"/>
    <w:rsid w:val="00752F5F"/>
    <w:rsid w:val="007559D4"/>
    <w:rsid w:val="00757D91"/>
    <w:rsid w:val="007734E4"/>
    <w:rsid w:val="007735E7"/>
    <w:rsid w:val="00776B52"/>
    <w:rsid w:val="00780327"/>
    <w:rsid w:val="007824AC"/>
    <w:rsid w:val="0078316C"/>
    <w:rsid w:val="00791E16"/>
    <w:rsid w:val="00794135"/>
    <w:rsid w:val="0079733B"/>
    <w:rsid w:val="007A453C"/>
    <w:rsid w:val="007B15B7"/>
    <w:rsid w:val="007B1B5C"/>
    <w:rsid w:val="007B1D46"/>
    <w:rsid w:val="007C1045"/>
    <w:rsid w:val="007D4615"/>
    <w:rsid w:val="007E42C8"/>
    <w:rsid w:val="007E5390"/>
    <w:rsid w:val="007E6C63"/>
    <w:rsid w:val="007F0FA1"/>
    <w:rsid w:val="007F2006"/>
    <w:rsid w:val="008004EA"/>
    <w:rsid w:val="0080148E"/>
    <w:rsid w:val="00801AD2"/>
    <w:rsid w:val="00801DEF"/>
    <w:rsid w:val="00802764"/>
    <w:rsid w:val="0080707B"/>
    <w:rsid w:val="00810E92"/>
    <w:rsid w:val="008232C2"/>
    <w:rsid w:val="008239AC"/>
    <w:rsid w:val="0082680F"/>
    <w:rsid w:val="00831AF7"/>
    <w:rsid w:val="008322DB"/>
    <w:rsid w:val="0083705B"/>
    <w:rsid w:val="00840E57"/>
    <w:rsid w:val="00850D7D"/>
    <w:rsid w:val="008543B3"/>
    <w:rsid w:val="0087459E"/>
    <w:rsid w:val="00876D6C"/>
    <w:rsid w:val="00877759"/>
    <w:rsid w:val="00881A8D"/>
    <w:rsid w:val="00881CD3"/>
    <w:rsid w:val="00881D5D"/>
    <w:rsid w:val="00891CC8"/>
    <w:rsid w:val="008921FA"/>
    <w:rsid w:val="00892F18"/>
    <w:rsid w:val="00895AEB"/>
    <w:rsid w:val="008966C3"/>
    <w:rsid w:val="008978D6"/>
    <w:rsid w:val="008B59CA"/>
    <w:rsid w:val="008C3C98"/>
    <w:rsid w:val="008C4018"/>
    <w:rsid w:val="008D343A"/>
    <w:rsid w:val="008E6DFA"/>
    <w:rsid w:val="008F0E15"/>
    <w:rsid w:val="009024CA"/>
    <w:rsid w:val="00902C76"/>
    <w:rsid w:val="00903C8C"/>
    <w:rsid w:val="00907E51"/>
    <w:rsid w:val="00913044"/>
    <w:rsid w:val="00914272"/>
    <w:rsid w:val="00923364"/>
    <w:rsid w:val="009243FA"/>
    <w:rsid w:val="00925B51"/>
    <w:rsid w:val="00931DAA"/>
    <w:rsid w:val="00936422"/>
    <w:rsid w:val="009414B4"/>
    <w:rsid w:val="00946680"/>
    <w:rsid w:val="00950877"/>
    <w:rsid w:val="00956D88"/>
    <w:rsid w:val="009601E8"/>
    <w:rsid w:val="00961BF7"/>
    <w:rsid w:val="009629C3"/>
    <w:rsid w:val="00963495"/>
    <w:rsid w:val="0096748E"/>
    <w:rsid w:val="009706CC"/>
    <w:rsid w:val="00975844"/>
    <w:rsid w:val="00981553"/>
    <w:rsid w:val="009871D5"/>
    <w:rsid w:val="0099766D"/>
    <w:rsid w:val="009977F2"/>
    <w:rsid w:val="009A30D6"/>
    <w:rsid w:val="009B3D27"/>
    <w:rsid w:val="009B7D24"/>
    <w:rsid w:val="009C0EAB"/>
    <w:rsid w:val="009C18FC"/>
    <w:rsid w:val="009C2CA7"/>
    <w:rsid w:val="009D0B33"/>
    <w:rsid w:val="009D1979"/>
    <w:rsid w:val="009D1F0C"/>
    <w:rsid w:val="009D4ED7"/>
    <w:rsid w:val="009E3860"/>
    <w:rsid w:val="009E4A7F"/>
    <w:rsid w:val="009E769F"/>
    <w:rsid w:val="00A13A5C"/>
    <w:rsid w:val="00A235EE"/>
    <w:rsid w:val="00A277B5"/>
    <w:rsid w:val="00A30328"/>
    <w:rsid w:val="00A3113B"/>
    <w:rsid w:val="00A35B50"/>
    <w:rsid w:val="00A375D5"/>
    <w:rsid w:val="00A4351A"/>
    <w:rsid w:val="00A473CC"/>
    <w:rsid w:val="00A50B09"/>
    <w:rsid w:val="00A561C6"/>
    <w:rsid w:val="00A61621"/>
    <w:rsid w:val="00A64F1D"/>
    <w:rsid w:val="00A67161"/>
    <w:rsid w:val="00A67620"/>
    <w:rsid w:val="00A705A8"/>
    <w:rsid w:val="00A70EF4"/>
    <w:rsid w:val="00A73292"/>
    <w:rsid w:val="00A73E70"/>
    <w:rsid w:val="00A74600"/>
    <w:rsid w:val="00A75196"/>
    <w:rsid w:val="00A8674F"/>
    <w:rsid w:val="00A90DDE"/>
    <w:rsid w:val="00A95A27"/>
    <w:rsid w:val="00AA0F63"/>
    <w:rsid w:val="00AA1BA8"/>
    <w:rsid w:val="00AA5852"/>
    <w:rsid w:val="00AB0F56"/>
    <w:rsid w:val="00AB3F87"/>
    <w:rsid w:val="00AB4F39"/>
    <w:rsid w:val="00AB663E"/>
    <w:rsid w:val="00AC31BB"/>
    <w:rsid w:val="00AC3659"/>
    <w:rsid w:val="00AC667D"/>
    <w:rsid w:val="00AC72E0"/>
    <w:rsid w:val="00AC743B"/>
    <w:rsid w:val="00AE0CD3"/>
    <w:rsid w:val="00AF54B0"/>
    <w:rsid w:val="00AF6A33"/>
    <w:rsid w:val="00AF70CA"/>
    <w:rsid w:val="00AF7D79"/>
    <w:rsid w:val="00B050DF"/>
    <w:rsid w:val="00B05E2C"/>
    <w:rsid w:val="00B06E08"/>
    <w:rsid w:val="00B123F6"/>
    <w:rsid w:val="00B13811"/>
    <w:rsid w:val="00B1706E"/>
    <w:rsid w:val="00B27F6D"/>
    <w:rsid w:val="00B305BB"/>
    <w:rsid w:val="00B3778B"/>
    <w:rsid w:val="00B40361"/>
    <w:rsid w:val="00B44121"/>
    <w:rsid w:val="00B51B94"/>
    <w:rsid w:val="00B60F48"/>
    <w:rsid w:val="00B611BF"/>
    <w:rsid w:val="00B62884"/>
    <w:rsid w:val="00B63F23"/>
    <w:rsid w:val="00B65CAA"/>
    <w:rsid w:val="00B6785B"/>
    <w:rsid w:val="00B6793B"/>
    <w:rsid w:val="00B81E02"/>
    <w:rsid w:val="00B850D6"/>
    <w:rsid w:val="00B90726"/>
    <w:rsid w:val="00B92A40"/>
    <w:rsid w:val="00B93B4D"/>
    <w:rsid w:val="00BA5D2C"/>
    <w:rsid w:val="00BC3399"/>
    <w:rsid w:val="00BD10F3"/>
    <w:rsid w:val="00BD5F2F"/>
    <w:rsid w:val="00BE6517"/>
    <w:rsid w:val="00BF18DC"/>
    <w:rsid w:val="00BF7BCA"/>
    <w:rsid w:val="00C01C60"/>
    <w:rsid w:val="00C02247"/>
    <w:rsid w:val="00C02394"/>
    <w:rsid w:val="00C05DBB"/>
    <w:rsid w:val="00C137D7"/>
    <w:rsid w:val="00C15DE9"/>
    <w:rsid w:val="00C2108C"/>
    <w:rsid w:val="00C22B98"/>
    <w:rsid w:val="00C2387C"/>
    <w:rsid w:val="00C23CC2"/>
    <w:rsid w:val="00C25703"/>
    <w:rsid w:val="00C26C6E"/>
    <w:rsid w:val="00C31774"/>
    <w:rsid w:val="00C419B9"/>
    <w:rsid w:val="00C4477A"/>
    <w:rsid w:val="00C45620"/>
    <w:rsid w:val="00C4764B"/>
    <w:rsid w:val="00C47F04"/>
    <w:rsid w:val="00C5140D"/>
    <w:rsid w:val="00C51447"/>
    <w:rsid w:val="00C51508"/>
    <w:rsid w:val="00C52E68"/>
    <w:rsid w:val="00C52F7E"/>
    <w:rsid w:val="00C60C92"/>
    <w:rsid w:val="00C62D62"/>
    <w:rsid w:val="00C62E2F"/>
    <w:rsid w:val="00C65986"/>
    <w:rsid w:val="00C7196F"/>
    <w:rsid w:val="00C738F8"/>
    <w:rsid w:val="00C77983"/>
    <w:rsid w:val="00C8107C"/>
    <w:rsid w:val="00C823FB"/>
    <w:rsid w:val="00C847BD"/>
    <w:rsid w:val="00C85F2C"/>
    <w:rsid w:val="00C94FA1"/>
    <w:rsid w:val="00C95A15"/>
    <w:rsid w:val="00CA49E4"/>
    <w:rsid w:val="00CA532D"/>
    <w:rsid w:val="00CA676D"/>
    <w:rsid w:val="00CB345E"/>
    <w:rsid w:val="00CB5F3F"/>
    <w:rsid w:val="00CC5D5C"/>
    <w:rsid w:val="00CC5F4F"/>
    <w:rsid w:val="00CD7E67"/>
    <w:rsid w:val="00CE0157"/>
    <w:rsid w:val="00CE1DDD"/>
    <w:rsid w:val="00CE2ED1"/>
    <w:rsid w:val="00CE735C"/>
    <w:rsid w:val="00CF0FFB"/>
    <w:rsid w:val="00CF1697"/>
    <w:rsid w:val="00D028F8"/>
    <w:rsid w:val="00D04270"/>
    <w:rsid w:val="00D0790C"/>
    <w:rsid w:val="00D10E95"/>
    <w:rsid w:val="00D13294"/>
    <w:rsid w:val="00D14108"/>
    <w:rsid w:val="00D252DA"/>
    <w:rsid w:val="00D27EBD"/>
    <w:rsid w:val="00D35C54"/>
    <w:rsid w:val="00D36A07"/>
    <w:rsid w:val="00D40528"/>
    <w:rsid w:val="00D41B65"/>
    <w:rsid w:val="00D475B5"/>
    <w:rsid w:val="00D5253E"/>
    <w:rsid w:val="00D61A7E"/>
    <w:rsid w:val="00D66CAE"/>
    <w:rsid w:val="00D72358"/>
    <w:rsid w:val="00D878D9"/>
    <w:rsid w:val="00DA2BA1"/>
    <w:rsid w:val="00DA5D9F"/>
    <w:rsid w:val="00DA6D8A"/>
    <w:rsid w:val="00DA7DF3"/>
    <w:rsid w:val="00DB180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5A6F"/>
    <w:rsid w:val="00E07891"/>
    <w:rsid w:val="00E10B0D"/>
    <w:rsid w:val="00E1359D"/>
    <w:rsid w:val="00E138FA"/>
    <w:rsid w:val="00E16923"/>
    <w:rsid w:val="00E20FF1"/>
    <w:rsid w:val="00E2717A"/>
    <w:rsid w:val="00E27A0F"/>
    <w:rsid w:val="00E34634"/>
    <w:rsid w:val="00E36B4A"/>
    <w:rsid w:val="00E41B1D"/>
    <w:rsid w:val="00E439E7"/>
    <w:rsid w:val="00E45CCB"/>
    <w:rsid w:val="00E531DC"/>
    <w:rsid w:val="00E642F6"/>
    <w:rsid w:val="00E67591"/>
    <w:rsid w:val="00E71643"/>
    <w:rsid w:val="00E812F3"/>
    <w:rsid w:val="00E82A6B"/>
    <w:rsid w:val="00E869F4"/>
    <w:rsid w:val="00E90217"/>
    <w:rsid w:val="00E9502A"/>
    <w:rsid w:val="00E979DD"/>
    <w:rsid w:val="00EA19B8"/>
    <w:rsid w:val="00EB0353"/>
    <w:rsid w:val="00EC05A5"/>
    <w:rsid w:val="00EC685B"/>
    <w:rsid w:val="00EC6B46"/>
    <w:rsid w:val="00ED2FAA"/>
    <w:rsid w:val="00ED40B1"/>
    <w:rsid w:val="00ED4884"/>
    <w:rsid w:val="00ED7A61"/>
    <w:rsid w:val="00EE67E3"/>
    <w:rsid w:val="00EF2D82"/>
    <w:rsid w:val="00EF6232"/>
    <w:rsid w:val="00F02192"/>
    <w:rsid w:val="00F11A0A"/>
    <w:rsid w:val="00F12AEF"/>
    <w:rsid w:val="00F12BC6"/>
    <w:rsid w:val="00F13B81"/>
    <w:rsid w:val="00F22F2D"/>
    <w:rsid w:val="00F24330"/>
    <w:rsid w:val="00F24FF9"/>
    <w:rsid w:val="00F269E1"/>
    <w:rsid w:val="00F319B8"/>
    <w:rsid w:val="00F33835"/>
    <w:rsid w:val="00F466BE"/>
    <w:rsid w:val="00F536BC"/>
    <w:rsid w:val="00F53ED5"/>
    <w:rsid w:val="00F54757"/>
    <w:rsid w:val="00F54F19"/>
    <w:rsid w:val="00F61384"/>
    <w:rsid w:val="00F61D2A"/>
    <w:rsid w:val="00F65BF1"/>
    <w:rsid w:val="00F67FA8"/>
    <w:rsid w:val="00F70ADF"/>
    <w:rsid w:val="00F7128D"/>
    <w:rsid w:val="00F71FC1"/>
    <w:rsid w:val="00F734B9"/>
    <w:rsid w:val="00F759DB"/>
    <w:rsid w:val="00F807EE"/>
    <w:rsid w:val="00F85E4F"/>
    <w:rsid w:val="00F928C0"/>
    <w:rsid w:val="00F934EC"/>
    <w:rsid w:val="00F95B47"/>
    <w:rsid w:val="00F974A7"/>
    <w:rsid w:val="00FA346E"/>
    <w:rsid w:val="00FA5B0F"/>
    <w:rsid w:val="00FB04A6"/>
    <w:rsid w:val="00FB1112"/>
    <w:rsid w:val="00FB1C8B"/>
    <w:rsid w:val="00FB2A6D"/>
    <w:rsid w:val="00FC4B31"/>
    <w:rsid w:val="00FC7CF0"/>
    <w:rsid w:val="00FD4C8B"/>
    <w:rsid w:val="00FD5F59"/>
    <w:rsid w:val="00FE074E"/>
    <w:rsid w:val="00FE0765"/>
    <w:rsid w:val="00FE2607"/>
    <w:rsid w:val="00FE49B5"/>
    <w:rsid w:val="00FF1268"/>
    <w:rsid w:val="00FF1F0B"/>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5D0512"/>
    <w:pPr>
      <w:spacing w:before="240" w:after="120"/>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url">
    <w:name w:val="url"/>
    <w:basedOn w:val="DefaultParagraphFont"/>
    <w:rsid w:val="00001BC5"/>
  </w:style>
  <w:style w:type="paragraph" w:customStyle="1" w:styleId="Head2">
    <w:name w:val="Head2"/>
    <w:basedOn w:val="Normal"/>
    <w:link w:val="Head2Char"/>
    <w:qFormat/>
    <w:rsid w:val="005D0512"/>
    <w:pPr>
      <w:spacing w:line="480" w:lineRule="auto"/>
    </w:pPr>
    <w:rPr>
      <w:rFonts w:ascii="Times New Roman" w:hAnsi="Times New Roman" w:cs="Times New Roman"/>
      <w:sz w:val="24"/>
      <w:szCs w:val="24"/>
    </w:rPr>
  </w:style>
  <w:style w:type="character" w:customStyle="1" w:styleId="Head2Char">
    <w:name w:val="Head2 Char"/>
    <w:basedOn w:val="DefaultParagraphFont"/>
    <w:link w:val="Head2"/>
    <w:rsid w:val="005D05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59853901">
      <w:bodyDiv w:val="1"/>
      <w:marLeft w:val="0"/>
      <w:marRight w:val="0"/>
      <w:marTop w:val="0"/>
      <w:marBottom w:val="0"/>
      <w:divBdr>
        <w:top w:val="none" w:sz="0" w:space="0" w:color="auto"/>
        <w:left w:val="none" w:sz="0" w:space="0" w:color="auto"/>
        <w:bottom w:val="none" w:sz="0" w:space="0" w:color="auto"/>
        <w:right w:val="none" w:sz="0" w:space="0" w:color="auto"/>
      </w:divBdr>
      <w:divsChild>
        <w:div w:id="1161504647">
          <w:marLeft w:val="-72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962082640">
      <w:bodyDiv w:val="1"/>
      <w:marLeft w:val="0"/>
      <w:marRight w:val="0"/>
      <w:marTop w:val="0"/>
      <w:marBottom w:val="0"/>
      <w:divBdr>
        <w:top w:val="none" w:sz="0" w:space="0" w:color="auto"/>
        <w:left w:val="none" w:sz="0" w:space="0" w:color="auto"/>
        <w:bottom w:val="none" w:sz="0" w:space="0" w:color="auto"/>
        <w:right w:val="none" w:sz="0" w:space="0" w:color="auto"/>
      </w:divBdr>
      <w:divsChild>
        <w:div w:id="789084777">
          <w:marLeft w:val="-720"/>
          <w:marRight w:val="0"/>
          <w:marTop w:val="0"/>
          <w:marBottom w:val="0"/>
          <w:divBdr>
            <w:top w:val="none" w:sz="0" w:space="0" w:color="auto"/>
            <w:left w:val="none" w:sz="0" w:space="0" w:color="auto"/>
            <w:bottom w:val="none" w:sz="0" w:space="0" w:color="auto"/>
            <w:right w:val="none" w:sz="0" w:space="0" w:color="auto"/>
          </w:divBdr>
        </w:div>
      </w:divsChild>
    </w:div>
    <w:div w:id="973172247">
      <w:bodyDiv w:val="1"/>
      <w:marLeft w:val="0"/>
      <w:marRight w:val="0"/>
      <w:marTop w:val="0"/>
      <w:marBottom w:val="0"/>
      <w:divBdr>
        <w:top w:val="none" w:sz="0" w:space="0" w:color="auto"/>
        <w:left w:val="none" w:sz="0" w:space="0" w:color="auto"/>
        <w:bottom w:val="none" w:sz="0" w:space="0" w:color="auto"/>
        <w:right w:val="none" w:sz="0" w:space="0" w:color="auto"/>
      </w:divBdr>
      <w:divsChild>
        <w:div w:id="410935357">
          <w:marLeft w:val="-720"/>
          <w:marRight w:val="0"/>
          <w:marTop w:val="0"/>
          <w:marBottom w:val="0"/>
          <w:divBdr>
            <w:top w:val="none" w:sz="0" w:space="0" w:color="auto"/>
            <w:left w:val="none" w:sz="0" w:space="0" w:color="auto"/>
            <w:bottom w:val="none" w:sz="0" w:space="0" w:color="auto"/>
            <w:right w:val="none" w:sz="0" w:space="0" w:color="auto"/>
          </w:divBdr>
        </w:div>
      </w:divsChild>
    </w:div>
    <w:div w:id="1020203620">
      <w:bodyDiv w:val="1"/>
      <w:marLeft w:val="0"/>
      <w:marRight w:val="0"/>
      <w:marTop w:val="0"/>
      <w:marBottom w:val="0"/>
      <w:divBdr>
        <w:top w:val="none" w:sz="0" w:space="0" w:color="auto"/>
        <w:left w:val="none" w:sz="0" w:space="0" w:color="auto"/>
        <w:bottom w:val="none" w:sz="0" w:space="0" w:color="auto"/>
        <w:right w:val="none" w:sz="0" w:space="0" w:color="auto"/>
      </w:divBdr>
      <w:divsChild>
        <w:div w:id="1480228701">
          <w:marLeft w:val="-72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08505540">
      <w:bodyDiv w:val="1"/>
      <w:marLeft w:val="0"/>
      <w:marRight w:val="0"/>
      <w:marTop w:val="0"/>
      <w:marBottom w:val="0"/>
      <w:divBdr>
        <w:top w:val="none" w:sz="0" w:space="0" w:color="auto"/>
        <w:left w:val="none" w:sz="0" w:space="0" w:color="auto"/>
        <w:bottom w:val="none" w:sz="0" w:space="0" w:color="auto"/>
        <w:right w:val="none" w:sz="0" w:space="0" w:color="auto"/>
      </w:divBdr>
      <w:divsChild>
        <w:div w:id="661549943">
          <w:marLeft w:val="-720"/>
          <w:marRight w:val="0"/>
          <w:marTop w:val="0"/>
          <w:marBottom w:val="0"/>
          <w:divBdr>
            <w:top w:val="none" w:sz="0" w:space="0" w:color="auto"/>
            <w:left w:val="none" w:sz="0" w:space="0" w:color="auto"/>
            <w:bottom w:val="none" w:sz="0" w:space="0" w:color="auto"/>
            <w:right w:val="none" w:sz="0" w:space="0" w:color="auto"/>
          </w:divBdr>
        </w:div>
      </w:divsChild>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39304921">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21750963">
      <w:bodyDiv w:val="1"/>
      <w:marLeft w:val="0"/>
      <w:marRight w:val="0"/>
      <w:marTop w:val="0"/>
      <w:marBottom w:val="0"/>
      <w:divBdr>
        <w:top w:val="none" w:sz="0" w:space="0" w:color="auto"/>
        <w:left w:val="none" w:sz="0" w:space="0" w:color="auto"/>
        <w:bottom w:val="none" w:sz="0" w:space="0" w:color="auto"/>
        <w:right w:val="none" w:sz="0" w:space="0" w:color="auto"/>
      </w:divBdr>
      <w:divsChild>
        <w:div w:id="2017808225">
          <w:marLeft w:val="-720"/>
          <w:marRight w:val="0"/>
          <w:marTop w:val="0"/>
          <w:marBottom w:val="0"/>
          <w:divBdr>
            <w:top w:val="none" w:sz="0" w:space="0" w:color="auto"/>
            <w:left w:val="none" w:sz="0" w:space="0" w:color="auto"/>
            <w:bottom w:val="none" w:sz="0" w:space="0" w:color="auto"/>
            <w:right w:val="none" w:sz="0" w:space="0" w:color="auto"/>
          </w:divBdr>
        </w:div>
      </w:divsChild>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291545966">
      <w:bodyDiv w:val="1"/>
      <w:marLeft w:val="0"/>
      <w:marRight w:val="0"/>
      <w:marTop w:val="0"/>
      <w:marBottom w:val="0"/>
      <w:divBdr>
        <w:top w:val="none" w:sz="0" w:space="0" w:color="auto"/>
        <w:left w:val="none" w:sz="0" w:space="0" w:color="auto"/>
        <w:bottom w:val="none" w:sz="0" w:space="0" w:color="auto"/>
        <w:right w:val="none" w:sz="0" w:space="0" w:color="auto"/>
      </w:divBdr>
      <w:divsChild>
        <w:div w:id="157815064">
          <w:marLeft w:val="-720"/>
          <w:marRight w:val="0"/>
          <w:marTop w:val="0"/>
          <w:marBottom w:val="0"/>
          <w:divBdr>
            <w:top w:val="none" w:sz="0" w:space="0" w:color="auto"/>
            <w:left w:val="none" w:sz="0" w:space="0" w:color="auto"/>
            <w:bottom w:val="none" w:sz="0" w:space="0" w:color="auto"/>
            <w:right w:val="none" w:sz="0" w:space="0" w:color="auto"/>
          </w:divBdr>
        </w:div>
      </w:divsChild>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190">
      <w:bodyDiv w:val="1"/>
      <w:marLeft w:val="0"/>
      <w:marRight w:val="0"/>
      <w:marTop w:val="0"/>
      <w:marBottom w:val="0"/>
      <w:divBdr>
        <w:top w:val="none" w:sz="0" w:space="0" w:color="auto"/>
        <w:left w:val="none" w:sz="0" w:space="0" w:color="auto"/>
        <w:bottom w:val="none" w:sz="0" w:space="0" w:color="auto"/>
        <w:right w:val="none" w:sz="0" w:space="0" w:color="auto"/>
      </w:divBdr>
      <w:divsChild>
        <w:div w:id="2001735753">
          <w:marLeft w:val="-720"/>
          <w:marRight w:val="0"/>
          <w:marTop w:val="0"/>
          <w:marBottom w:val="0"/>
          <w:divBdr>
            <w:top w:val="none" w:sz="0" w:space="0" w:color="auto"/>
            <w:left w:val="none" w:sz="0" w:space="0" w:color="auto"/>
            <w:bottom w:val="none" w:sz="0" w:space="0" w:color="auto"/>
            <w:right w:val="none" w:sz="0" w:space="0" w:color="auto"/>
          </w:divBdr>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2000130">
      <w:bodyDiv w:val="1"/>
      <w:marLeft w:val="0"/>
      <w:marRight w:val="0"/>
      <w:marTop w:val="0"/>
      <w:marBottom w:val="0"/>
      <w:divBdr>
        <w:top w:val="none" w:sz="0" w:space="0" w:color="auto"/>
        <w:left w:val="none" w:sz="0" w:space="0" w:color="auto"/>
        <w:bottom w:val="none" w:sz="0" w:space="0" w:color="auto"/>
        <w:right w:val="none" w:sz="0" w:space="0" w:color="auto"/>
      </w:divBdr>
      <w:divsChild>
        <w:div w:id="103884878">
          <w:marLeft w:val="-72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2025128">
      <w:bodyDiv w:val="1"/>
      <w:marLeft w:val="0"/>
      <w:marRight w:val="0"/>
      <w:marTop w:val="0"/>
      <w:marBottom w:val="0"/>
      <w:divBdr>
        <w:top w:val="none" w:sz="0" w:space="0" w:color="auto"/>
        <w:left w:val="none" w:sz="0" w:space="0" w:color="auto"/>
        <w:bottom w:val="none" w:sz="0" w:space="0" w:color="auto"/>
        <w:right w:val="none" w:sz="0" w:space="0" w:color="auto"/>
      </w:divBdr>
      <w:divsChild>
        <w:div w:id="1514104265">
          <w:marLeft w:val="-72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16488568">
      <w:bodyDiv w:val="1"/>
      <w:marLeft w:val="0"/>
      <w:marRight w:val="0"/>
      <w:marTop w:val="0"/>
      <w:marBottom w:val="0"/>
      <w:divBdr>
        <w:top w:val="none" w:sz="0" w:space="0" w:color="auto"/>
        <w:left w:val="none" w:sz="0" w:space="0" w:color="auto"/>
        <w:bottom w:val="none" w:sz="0" w:space="0" w:color="auto"/>
        <w:right w:val="none" w:sz="0" w:space="0" w:color="auto"/>
      </w:divBdr>
      <w:divsChild>
        <w:div w:id="622855635">
          <w:marLeft w:val="-72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13</cp:revision>
  <cp:lastPrinted>2024-07-28T13:00:00Z</cp:lastPrinted>
  <dcterms:created xsi:type="dcterms:W3CDTF">2024-07-28T11:05:00Z</dcterms:created>
  <dcterms:modified xsi:type="dcterms:W3CDTF">2024-07-28T13:01:00Z</dcterms:modified>
</cp:coreProperties>
</file>