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C2D49" w14:textId="77777777" w:rsidR="005D786A" w:rsidRPr="005D786A" w:rsidRDefault="005D786A" w:rsidP="005D786A"/>
    <w:p w14:paraId="55424E5E" w14:textId="77777777" w:rsidR="005D786A" w:rsidRPr="005D786A" w:rsidRDefault="005D786A" w:rsidP="00B43CCA">
      <w:pPr>
        <w:pStyle w:val="Title"/>
      </w:pPr>
      <w:r w:rsidRPr="005D786A">
        <w:t>Key Factors Influencing Early Agent Performance and Indicators of Nill Risk</w:t>
      </w:r>
    </w:p>
    <w:p w14:paraId="6BC547EF" w14:textId="77777777" w:rsidR="005D786A" w:rsidRPr="005D786A" w:rsidRDefault="005D786A" w:rsidP="005D786A"/>
    <w:p w14:paraId="0A658939" w14:textId="77777777" w:rsidR="005D786A" w:rsidRPr="005D786A" w:rsidRDefault="005D786A" w:rsidP="00B43CCA">
      <w:pPr>
        <w:pStyle w:val="Heading1"/>
        <w:rPr>
          <w:b/>
          <w:bCs/>
        </w:rPr>
      </w:pPr>
      <w:r w:rsidRPr="005D786A">
        <w:t>1. Historical Policy Count Trends</w:t>
      </w:r>
    </w:p>
    <w:p w14:paraId="744E0AAC" w14:textId="77777777" w:rsidR="005D786A" w:rsidRPr="005D786A" w:rsidRDefault="005D786A" w:rsidP="005D786A">
      <w:pPr>
        <w:rPr>
          <w:b/>
          <w:bCs/>
        </w:rPr>
      </w:pPr>
      <w:r w:rsidRPr="005D786A">
        <w:br/>
        <w:t xml:space="preserve"> Agents with </w:t>
      </w:r>
      <w:r w:rsidRPr="005D786A">
        <w:rPr>
          <w:u w:val="single"/>
        </w:rPr>
        <w:t>zero new policies in the previous month, or those showing a pattern of consecutive months with no new policies</w:t>
      </w:r>
      <w:r w:rsidRPr="005D786A">
        <w:t xml:space="preserve">, are at significant risk of future underperformance. A recurring history of </w:t>
      </w:r>
      <w:proofErr w:type="spellStart"/>
      <w:r w:rsidRPr="005D786A">
        <w:t>nill</w:t>
      </w:r>
      <w:proofErr w:type="spellEnd"/>
      <w:r w:rsidRPr="005D786A">
        <w:t xml:space="preserve"> performance often reflects deeper issues such as lack of motivation, poor lead conversion skills, or disengagement from the sales process.</w:t>
      </w:r>
    </w:p>
    <w:p w14:paraId="70FC66D0" w14:textId="6CCF24E7" w:rsidR="005D786A" w:rsidRPr="005D786A" w:rsidRDefault="005D786A" w:rsidP="005D786A">
      <w:pPr>
        <w:numPr>
          <w:ilvl w:val="0"/>
          <w:numId w:val="1"/>
        </w:numPr>
        <w:rPr>
          <w:b/>
          <w:bCs/>
        </w:rPr>
      </w:pPr>
      <w:r w:rsidRPr="005D786A">
        <w:t>Risk Indicator: Multiple consecutive months with zero new policies.</w:t>
      </w:r>
    </w:p>
    <w:p w14:paraId="1E011CFF" w14:textId="77777777" w:rsidR="005D786A" w:rsidRPr="005D786A" w:rsidRDefault="005D786A" w:rsidP="005D786A">
      <w:pPr>
        <w:numPr>
          <w:ilvl w:val="0"/>
          <w:numId w:val="1"/>
        </w:numPr>
        <w:rPr>
          <w:b/>
          <w:bCs/>
        </w:rPr>
      </w:pPr>
      <w:r w:rsidRPr="005D786A">
        <w:t>Risk Amplifier: Similar patterns observed earlier in their tenure.</w:t>
      </w:r>
    </w:p>
    <w:p w14:paraId="73046C61" w14:textId="5F94CF4A" w:rsidR="005D786A" w:rsidRDefault="005D786A" w:rsidP="005D786A">
      <w:r w:rsidRPr="005D786A">
        <w:t xml:space="preserve">The </w:t>
      </w:r>
      <w:r>
        <w:t>scatterplot</w:t>
      </w:r>
      <w:r w:rsidRPr="005D786A">
        <w:t xml:space="preserve"> below shows the total number of zero-policy counts for each agent over a 20-month period. However, since not all agents were active during the entire period, it's more meaningful to consider the average number of zero-policy months per agent</w:t>
      </w:r>
    </w:p>
    <w:p w14:paraId="43EC8F79" w14:textId="2ECB8471" w:rsidR="005D786A" w:rsidRDefault="005D786A" w:rsidP="005D786A"/>
    <w:p w14:paraId="5010A59F" w14:textId="321EFA43" w:rsidR="005D786A" w:rsidRPr="005D786A" w:rsidRDefault="005D786A" w:rsidP="005D786A">
      <w:r>
        <w:rPr>
          <w:noProof/>
        </w:rPr>
        <w:lastRenderedPageBreak/>
        <w:drawing>
          <wp:inline distT="0" distB="0" distL="0" distR="0" wp14:anchorId="7253A1FC" wp14:editId="5A01C90F">
            <wp:extent cx="5943600" cy="3545205"/>
            <wp:effectExtent l="0" t="0" r="0" b="0"/>
            <wp:docPr id="1148100864"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00864" name="Picture 4" descr="A screen 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r w:rsidRPr="005D786A">
        <w:br/>
      </w:r>
      <w:r w:rsidRPr="005D786A">
        <w:br/>
      </w:r>
      <w:r w:rsidRPr="00592E99">
        <w:t>The scatterplot above highlights agents with a high probability of receiving zero policies this month. It would be wise to closely monitor and support these agents</w:t>
      </w:r>
    </w:p>
    <w:p w14:paraId="29AE9875" w14:textId="79AE975B" w:rsidR="005D786A" w:rsidRPr="005D786A" w:rsidRDefault="005D786A" w:rsidP="005D786A"/>
    <w:p w14:paraId="738FCADD" w14:textId="77777777" w:rsidR="005D786A" w:rsidRPr="00592E99" w:rsidRDefault="005D786A" w:rsidP="00B43CCA">
      <w:pPr>
        <w:pStyle w:val="Heading1"/>
      </w:pPr>
      <w:r w:rsidRPr="005D786A">
        <w:t>2. Proposal and Quotation Activity</w:t>
      </w:r>
    </w:p>
    <w:p w14:paraId="2A1B9639" w14:textId="77EDA996" w:rsidR="005D786A" w:rsidRPr="005D786A" w:rsidRDefault="005D786A" w:rsidP="005D786A">
      <w:r w:rsidRPr="005D786A">
        <w:br/>
        <w:t xml:space="preserve"> A low number of unique insurance proposals or quotations generated in the weeks leading up to the current month is a strong predictor of </w:t>
      </w:r>
      <w:proofErr w:type="spellStart"/>
      <w:r w:rsidRPr="005D786A">
        <w:t>nill</w:t>
      </w:r>
      <w:proofErr w:type="spellEnd"/>
      <w:r w:rsidRPr="005D786A">
        <w:t xml:space="preserve"> risk. Proposals and quotes are often the leading indicators of sales intent and engagement. A decline here can signal lack of pipeline development or sales inertia.</w:t>
      </w:r>
    </w:p>
    <w:p w14:paraId="7F5EDAC0" w14:textId="718A2179" w:rsidR="005D786A" w:rsidRPr="005D786A" w:rsidRDefault="005D786A" w:rsidP="005D786A">
      <w:pPr>
        <w:numPr>
          <w:ilvl w:val="0"/>
          <w:numId w:val="2"/>
        </w:numPr>
      </w:pPr>
      <w:r w:rsidRPr="005D786A">
        <w:t>Risk Indicator: Low or declining unique proposals/quotations.</w:t>
      </w:r>
    </w:p>
    <w:p w14:paraId="74FAF3FA" w14:textId="6C674BCF" w:rsidR="005D786A" w:rsidRPr="00592E99" w:rsidRDefault="005D786A" w:rsidP="005D786A">
      <w:pPr>
        <w:numPr>
          <w:ilvl w:val="0"/>
          <w:numId w:val="2"/>
        </w:numPr>
      </w:pPr>
      <w:r w:rsidRPr="005D786A">
        <w:t>Suggested Action: Early intervention through coaching or lead support.</w:t>
      </w:r>
      <w:r w:rsidRPr="005D786A">
        <w:br/>
      </w:r>
    </w:p>
    <w:p w14:paraId="561A8322" w14:textId="492C0CC2" w:rsidR="004F6B39" w:rsidRPr="005D786A" w:rsidRDefault="009403CB" w:rsidP="004F6B39">
      <w:pPr>
        <w:ind w:left="720"/>
      </w:pPr>
      <w:r w:rsidRPr="00592E99">
        <w:rPr>
          <w:noProof/>
        </w:rPr>
        <w:lastRenderedPageBreak/>
        <w:drawing>
          <wp:inline distT="0" distB="0" distL="0" distR="0" wp14:anchorId="16A2F99C" wp14:editId="272AED2F">
            <wp:extent cx="5943600" cy="2952115"/>
            <wp:effectExtent l="0" t="0" r="0" b="635"/>
            <wp:docPr id="12669297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52115"/>
                    </a:xfrm>
                    <a:prstGeom prst="rect">
                      <a:avLst/>
                    </a:prstGeom>
                    <a:noFill/>
                    <a:ln>
                      <a:noFill/>
                    </a:ln>
                  </pic:spPr>
                </pic:pic>
              </a:graphicData>
            </a:graphic>
          </wp:inline>
        </w:drawing>
      </w:r>
    </w:p>
    <w:p w14:paraId="5A6EC451" w14:textId="404347DD" w:rsidR="005D786A" w:rsidRPr="005D786A" w:rsidRDefault="005D786A" w:rsidP="005D786A"/>
    <w:p w14:paraId="54C31325" w14:textId="77777777" w:rsidR="00B43CCA" w:rsidRDefault="005D786A" w:rsidP="00B43CCA">
      <w:pPr>
        <w:pStyle w:val="Heading1"/>
      </w:pPr>
      <w:r w:rsidRPr="005D786A">
        <w:t>3. New Agent Risk Factor</w:t>
      </w:r>
    </w:p>
    <w:p w14:paraId="666E3310" w14:textId="679185B3" w:rsidR="005D786A" w:rsidRPr="005D786A" w:rsidRDefault="005D786A" w:rsidP="005D786A">
      <w:r w:rsidRPr="005D786A">
        <w:br/>
        <w:t xml:space="preserve"> Newly onboarded agents typically face a higher likelihood of </w:t>
      </w:r>
      <w:proofErr w:type="spellStart"/>
      <w:r w:rsidRPr="005D786A">
        <w:t>nill</w:t>
      </w:r>
      <w:proofErr w:type="spellEnd"/>
      <w:r w:rsidRPr="005D786A">
        <w:t xml:space="preserve"> risk due to a steep learning curve, limited customer base, and lack of market familiarity. This is a normal phase but should be closely monitored to ensure onboarding efforts are effective.</w:t>
      </w:r>
    </w:p>
    <w:p w14:paraId="2CA9CC46" w14:textId="27D263FF" w:rsidR="005D786A" w:rsidRPr="005D786A" w:rsidRDefault="005D786A" w:rsidP="005D786A">
      <w:pPr>
        <w:numPr>
          <w:ilvl w:val="0"/>
          <w:numId w:val="3"/>
        </w:numPr>
      </w:pPr>
      <w:r w:rsidRPr="005D786A">
        <w:t>Risk Indicator: Agents within their first 3–6 months of joining.</w:t>
      </w:r>
    </w:p>
    <w:p w14:paraId="090E5CA5" w14:textId="4F2DEA08" w:rsidR="005D786A" w:rsidRPr="005D786A" w:rsidRDefault="005D786A" w:rsidP="005D786A">
      <w:pPr>
        <w:numPr>
          <w:ilvl w:val="0"/>
          <w:numId w:val="3"/>
        </w:numPr>
      </w:pPr>
      <w:r w:rsidRPr="005D786A">
        <w:lastRenderedPageBreak/>
        <w:t>Mitigation: Enhanced mentorship, early goal setting, and regular check-ins.</w:t>
      </w:r>
      <w:r w:rsidRPr="005D786A">
        <w:br/>
      </w:r>
      <w:r w:rsidRPr="005D786A">
        <w:br/>
      </w:r>
      <w:r w:rsidR="009403CB" w:rsidRPr="00592E99">
        <w:rPr>
          <w:noProof/>
        </w:rPr>
        <w:drawing>
          <wp:inline distT="0" distB="0" distL="0" distR="0" wp14:anchorId="035BB242" wp14:editId="54FB329E">
            <wp:extent cx="5943600" cy="2948940"/>
            <wp:effectExtent l="0" t="0" r="0" b="3810"/>
            <wp:docPr id="529632734" name="Picture 7" descr="A bar cod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32734" name="Picture 7" descr="A bar code with blu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inline>
        </w:drawing>
      </w:r>
    </w:p>
    <w:p w14:paraId="0704D6CC" w14:textId="63D6E746" w:rsidR="005D786A" w:rsidRPr="005D786A" w:rsidRDefault="005D786A" w:rsidP="005D786A"/>
    <w:p w14:paraId="7143F46B" w14:textId="77777777" w:rsidR="00B43CCA" w:rsidRDefault="005D786A" w:rsidP="00B43CCA">
      <w:pPr>
        <w:pStyle w:val="Heading1"/>
      </w:pPr>
      <w:r w:rsidRPr="005D786A">
        <w:t>4. Delay in First Sale</w:t>
      </w:r>
    </w:p>
    <w:p w14:paraId="5FB11411" w14:textId="4D4BD555" w:rsidR="005D786A" w:rsidRPr="005D786A" w:rsidRDefault="005D786A" w:rsidP="005D786A">
      <w:r w:rsidRPr="005D786A">
        <w:br/>
        <w:t xml:space="preserve"> Agents who take an unusually long time to sell their first policy often carry unresolved challenges—whether in prospecting, product knowledge, or confidence—that may persist throughout their tenure. These agents need targeted support before patterns become ingrained.</w:t>
      </w:r>
    </w:p>
    <w:p w14:paraId="275BC6B7" w14:textId="545AC491" w:rsidR="005D786A" w:rsidRPr="005D786A" w:rsidRDefault="005D786A" w:rsidP="005D786A">
      <w:pPr>
        <w:numPr>
          <w:ilvl w:val="0"/>
          <w:numId w:val="4"/>
        </w:numPr>
      </w:pPr>
      <w:r w:rsidRPr="005D786A">
        <w:t>Risk Indicator: First policy sold well after expected onboarding window.</w:t>
      </w:r>
    </w:p>
    <w:p w14:paraId="1183AE6E" w14:textId="77777777" w:rsidR="009403CB" w:rsidRPr="00592E99" w:rsidRDefault="005D786A" w:rsidP="005D786A">
      <w:pPr>
        <w:numPr>
          <w:ilvl w:val="0"/>
          <w:numId w:val="4"/>
        </w:numPr>
      </w:pPr>
      <w:r w:rsidRPr="005D786A">
        <w:t>Suggested Action: Skill-gap analysis and individualized performance plans.</w:t>
      </w:r>
    </w:p>
    <w:p w14:paraId="06E31B99" w14:textId="223FC7B3" w:rsidR="005D786A" w:rsidRPr="005D786A" w:rsidRDefault="009403CB" w:rsidP="009403CB">
      <w:proofErr w:type="gramStart"/>
      <w:r w:rsidRPr="00592E99">
        <w:t>So</w:t>
      </w:r>
      <w:proofErr w:type="gramEnd"/>
      <w:r w:rsidRPr="00592E99">
        <w:t xml:space="preserve"> in our data maximum count of gap between </w:t>
      </w:r>
      <w:r w:rsidR="006953A3" w:rsidRPr="00592E99">
        <w:t xml:space="preserve">the person who joined and sold the first policy is 1827 months that is approximately 5 years. So </w:t>
      </w:r>
      <w:r w:rsidR="005D786A" w:rsidRPr="005D786A">
        <w:br/>
      </w:r>
      <w:r w:rsidR="005D786A" w:rsidRPr="005D786A">
        <w:br/>
      </w:r>
    </w:p>
    <w:p w14:paraId="51A66A23" w14:textId="77954DFF" w:rsidR="005D786A" w:rsidRPr="005D786A" w:rsidRDefault="005D786A" w:rsidP="005D786A"/>
    <w:p w14:paraId="5339A44C" w14:textId="77777777" w:rsidR="00B43CCA" w:rsidRDefault="005D786A" w:rsidP="00B43CCA">
      <w:pPr>
        <w:pStyle w:val="Heading1"/>
      </w:pPr>
      <w:r w:rsidRPr="005D786A">
        <w:lastRenderedPageBreak/>
        <w:t>5. Irregular Sales Patterns</w:t>
      </w:r>
    </w:p>
    <w:p w14:paraId="7842AB56" w14:textId="515C0BB3" w:rsidR="005D786A" w:rsidRPr="005D786A" w:rsidRDefault="005D786A" w:rsidP="005D786A">
      <w:r w:rsidRPr="005D786A">
        <w:br/>
        <w:t xml:space="preserve"> Agents with inconsistent new policy counts—frequent ups and downs—may struggle with sustaining momentum. Such fluctuations indicate unstable pipelines or sporadic engagement and can be early warning signs of burnout or lack of process adherence.</w:t>
      </w:r>
    </w:p>
    <w:p w14:paraId="30B3EE4A" w14:textId="4D435CC9" w:rsidR="005D786A" w:rsidRPr="005D786A" w:rsidRDefault="005D786A" w:rsidP="005D786A">
      <w:pPr>
        <w:numPr>
          <w:ilvl w:val="0"/>
          <w:numId w:val="5"/>
        </w:numPr>
      </w:pPr>
      <w:r w:rsidRPr="005D786A">
        <w:t>Risk Indicator: Highly variable monthly policy counts.</w:t>
      </w:r>
    </w:p>
    <w:p w14:paraId="01C96407" w14:textId="77777777" w:rsidR="005D786A" w:rsidRPr="005D786A" w:rsidRDefault="005D786A" w:rsidP="005D786A">
      <w:pPr>
        <w:numPr>
          <w:ilvl w:val="0"/>
          <w:numId w:val="5"/>
        </w:numPr>
      </w:pPr>
      <w:r w:rsidRPr="005D786A">
        <w:t>Suggested Action: Evaluate lead flow consistency and time management practices.</w:t>
      </w:r>
      <w:r w:rsidRPr="005D786A">
        <w:br/>
      </w:r>
      <w:r w:rsidRPr="005D786A">
        <w:br/>
      </w:r>
    </w:p>
    <w:sectPr w:rsidR="005D786A" w:rsidRPr="005D78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A995C" w14:textId="77777777" w:rsidR="002B26C1" w:rsidRDefault="002B26C1" w:rsidP="002B26C1">
      <w:pPr>
        <w:spacing w:after="0" w:line="240" w:lineRule="auto"/>
      </w:pPr>
      <w:r>
        <w:separator/>
      </w:r>
    </w:p>
  </w:endnote>
  <w:endnote w:type="continuationSeparator" w:id="0">
    <w:p w14:paraId="7F6FEFBF" w14:textId="77777777" w:rsidR="002B26C1" w:rsidRDefault="002B26C1" w:rsidP="002B2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2FF61" w14:textId="77777777" w:rsidR="002B26C1" w:rsidRDefault="002B26C1" w:rsidP="002B26C1">
      <w:pPr>
        <w:spacing w:after="0" w:line="240" w:lineRule="auto"/>
      </w:pPr>
      <w:r>
        <w:separator/>
      </w:r>
    </w:p>
  </w:footnote>
  <w:footnote w:type="continuationSeparator" w:id="0">
    <w:p w14:paraId="691DB83B" w14:textId="77777777" w:rsidR="002B26C1" w:rsidRDefault="002B26C1" w:rsidP="002B2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84EC9"/>
    <w:multiLevelType w:val="multilevel"/>
    <w:tmpl w:val="7E60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C31D4"/>
    <w:multiLevelType w:val="multilevel"/>
    <w:tmpl w:val="C40A6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C465C"/>
    <w:multiLevelType w:val="multilevel"/>
    <w:tmpl w:val="EF82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50BDE"/>
    <w:multiLevelType w:val="multilevel"/>
    <w:tmpl w:val="0FAE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5305F"/>
    <w:multiLevelType w:val="multilevel"/>
    <w:tmpl w:val="B6928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06731"/>
    <w:multiLevelType w:val="multilevel"/>
    <w:tmpl w:val="0A3AA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B21A5"/>
    <w:multiLevelType w:val="multilevel"/>
    <w:tmpl w:val="E6249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F3981"/>
    <w:multiLevelType w:val="multilevel"/>
    <w:tmpl w:val="973C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15B65"/>
    <w:multiLevelType w:val="multilevel"/>
    <w:tmpl w:val="1780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601F9"/>
    <w:multiLevelType w:val="multilevel"/>
    <w:tmpl w:val="A5C6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A5423"/>
    <w:multiLevelType w:val="multilevel"/>
    <w:tmpl w:val="381A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0E1971"/>
    <w:multiLevelType w:val="multilevel"/>
    <w:tmpl w:val="5776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D55B5"/>
    <w:multiLevelType w:val="multilevel"/>
    <w:tmpl w:val="A2C86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B3907"/>
    <w:multiLevelType w:val="multilevel"/>
    <w:tmpl w:val="11E27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100005">
    <w:abstractNumId w:val="7"/>
  </w:num>
  <w:num w:numId="2" w16cid:durableId="144863792">
    <w:abstractNumId w:val="0"/>
  </w:num>
  <w:num w:numId="3" w16cid:durableId="795638246">
    <w:abstractNumId w:val="10"/>
  </w:num>
  <w:num w:numId="4" w16cid:durableId="1236356523">
    <w:abstractNumId w:val="3"/>
  </w:num>
  <w:num w:numId="5" w16cid:durableId="801657362">
    <w:abstractNumId w:val="8"/>
  </w:num>
  <w:num w:numId="6" w16cid:durableId="1739357828">
    <w:abstractNumId w:val="5"/>
  </w:num>
  <w:num w:numId="7" w16cid:durableId="1062682669">
    <w:abstractNumId w:val="12"/>
  </w:num>
  <w:num w:numId="8" w16cid:durableId="1555891544">
    <w:abstractNumId w:val="4"/>
  </w:num>
  <w:num w:numId="9" w16cid:durableId="1684160461">
    <w:abstractNumId w:val="2"/>
  </w:num>
  <w:num w:numId="10" w16cid:durableId="602693771">
    <w:abstractNumId w:val="9"/>
  </w:num>
  <w:num w:numId="11" w16cid:durableId="1598555647">
    <w:abstractNumId w:val="11"/>
  </w:num>
  <w:num w:numId="12" w16cid:durableId="867990268">
    <w:abstractNumId w:val="6"/>
  </w:num>
  <w:num w:numId="13" w16cid:durableId="660156135">
    <w:abstractNumId w:val="13"/>
  </w:num>
  <w:num w:numId="14" w16cid:durableId="1195732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6A"/>
    <w:rsid w:val="000373CE"/>
    <w:rsid w:val="000448D7"/>
    <w:rsid w:val="001944D5"/>
    <w:rsid w:val="002116BB"/>
    <w:rsid w:val="002323D3"/>
    <w:rsid w:val="002B26C1"/>
    <w:rsid w:val="004655E6"/>
    <w:rsid w:val="004F6B39"/>
    <w:rsid w:val="00506D12"/>
    <w:rsid w:val="00592E99"/>
    <w:rsid w:val="005D786A"/>
    <w:rsid w:val="006944A5"/>
    <w:rsid w:val="006953A3"/>
    <w:rsid w:val="00736420"/>
    <w:rsid w:val="007474A5"/>
    <w:rsid w:val="007A5AC9"/>
    <w:rsid w:val="00887ED8"/>
    <w:rsid w:val="009403CB"/>
    <w:rsid w:val="0096141E"/>
    <w:rsid w:val="00992E11"/>
    <w:rsid w:val="009B246B"/>
    <w:rsid w:val="00A45162"/>
    <w:rsid w:val="00A70606"/>
    <w:rsid w:val="00A83B43"/>
    <w:rsid w:val="00AB720E"/>
    <w:rsid w:val="00B43CCA"/>
    <w:rsid w:val="00B806EF"/>
    <w:rsid w:val="00C57F83"/>
    <w:rsid w:val="00D437AA"/>
    <w:rsid w:val="00DA1C53"/>
    <w:rsid w:val="00E9618C"/>
    <w:rsid w:val="00FA4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1E84D"/>
  <w15:chartTrackingRefBased/>
  <w15:docId w15:val="{BFBE79D2-A915-4F20-A5F7-147E7CB1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86A"/>
    <w:rPr>
      <w:rFonts w:eastAsiaTheme="majorEastAsia" w:cstheme="majorBidi"/>
      <w:color w:val="272727" w:themeColor="text1" w:themeTint="D8"/>
    </w:rPr>
  </w:style>
  <w:style w:type="paragraph" w:styleId="Title">
    <w:name w:val="Title"/>
    <w:basedOn w:val="Normal"/>
    <w:next w:val="Normal"/>
    <w:link w:val="TitleChar"/>
    <w:uiPriority w:val="10"/>
    <w:qFormat/>
    <w:rsid w:val="005D7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86A"/>
    <w:pPr>
      <w:spacing w:before="160"/>
      <w:jc w:val="center"/>
    </w:pPr>
    <w:rPr>
      <w:i/>
      <w:iCs/>
      <w:color w:val="404040" w:themeColor="text1" w:themeTint="BF"/>
    </w:rPr>
  </w:style>
  <w:style w:type="character" w:customStyle="1" w:styleId="QuoteChar">
    <w:name w:val="Quote Char"/>
    <w:basedOn w:val="DefaultParagraphFont"/>
    <w:link w:val="Quote"/>
    <w:uiPriority w:val="29"/>
    <w:rsid w:val="005D786A"/>
    <w:rPr>
      <w:i/>
      <w:iCs/>
      <w:color w:val="404040" w:themeColor="text1" w:themeTint="BF"/>
    </w:rPr>
  </w:style>
  <w:style w:type="paragraph" w:styleId="ListParagraph">
    <w:name w:val="List Paragraph"/>
    <w:basedOn w:val="Normal"/>
    <w:uiPriority w:val="34"/>
    <w:qFormat/>
    <w:rsid w:val="005D786A"/>
    <w:pPr>
      <w:ind w:left="720"/>
      <w:contextualSpacing/>
    </w:pPr>
  </w:style>
  <w:style w:type="character" w:styleId="IntenseEmphasis">
    <w:name w:val="Intense Emphasis"/>
    <w:basedOn w:val="DefaultParagraphFont"/>
    <w:uiPriority w:val="21"/>
    <w:qFormat/>
    <w:rsid w:val="005D786A"/>
    <w:rPr>
      <w:i/>
      <w:iCs/>
      <w:color w:val="0F4761" w:themeColor="accent1" w:themeShade="BF"/>
    </w:rPr>
  </w:style>
  <w:style w:type="paragraph" w:styleId="IntenseQuote">
    <w:name w:val="Intense Quote"/>
    <w:basedOn w:val="Normal"/>
    <w:next w:val="Normal"/>
    <w:link w:val="IntenseQuoteChar"/>
    <w:uiPriority w:val="30"/>
    <w:qFormat/>
    <w:rsid w:val="005D7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86A"/>
    <w:rPr>
      <w:i/>
      <w:iCs/>
      <w:color w:val="0F4761" w:themeColor="accent1" w:themeShade="BF"/>
    </w:rPr>
  </w:style>
  <w:style w:type="character" w:styleId="IntenseReference">
    <w:name w:val="Intense Reference"/>
    <w:basedOn w:val="DefaultParagraphFont"/>
    <w:uiPriority w:val="32"/>
    <w:qFormat/>
    <w:rsid w:val="005D786A"/>
    <w:rPr>
      <w:b/>
      <w:bCs/>
      <w:smallCaps/>
      <w:color w:val="0F4761" w:themeColor="accent1" w:themeShade="BF"/>
      <w:spacing w:val="5"/>
    </w:rPr>
  </w:style>
  <w:style w:type="paragraph" w:styleId="Header">
    <w:name w:val="header"/>
    <w:basedOn w:val="Normal"/>
    <w:link w:val="HeaderChar"/>
    <w:uiPriority w:val="99"/>
    <w:unhideWhenUsed/>
    <w:rsid w:val="002B2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6C1"/>
  </w:style>
  <w:style w:type="paragraph" w:styleId="Footer">
    <w:name w:val="footer"/>
    <w:basedOn w:val="Normal"/>
    <w:link w:val="FooterChar"/>
    <w:uiPriority w:val="99"/>
    <w:unhideWhenUsed/>
    <w:rsid w:val="002B2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245885">
      <w:bodyDiv w:val="1"/>
      <w:marLeft w:val="0"/>
      <w:marRight w:val="0"/>
      <w:marTop w:val="0"/>
      <w:marBottom w:val="0"/>
      <w:divBdr>
        <w:top w:val="none" w:sz="0" w:space="0" w:color="auto"/>
        <w:left w:val="none" w:sz="0" w:space="0" w:color="auto"/>
        <w:bottom w:val="none" w:sz="0" w:space="0" w:color="auto"/>
        <w:right w:val="none" w:sz="0" w:space="0" w:color="auto"/>
      </w:divBdr>
    </w:div>
    <w:div w:id="560751950">
      <w:bodyDiv w:val="1"/>
      <w:marLeft w:val="0"/>
      <w:marRight w:val="0"/>
      <w:marTop w:val="0"/>
      <w:marBottom w:val="0"/>
      <w:divBdr>
        <w:top w:val="none" w:sz="0" w:space="0" w:color="auto"/>
        <w:left w:val="none" w:sz="0" w:space="0" w:color="auto"/>
        <w:bottom w:val="none" w:sz="0" w:space="0" w:color="auto"/>
        <w:right w:val="none" w:sz="0" w:space="0" w:color="auto"/>
      </w:divBdr>
      <w:divsChild>
        <w:div w:id="558978719">
          <w:marLeft w:val="0"/>
          <w:marRight w:val="0"/>
          <w:marTop w:val="0"/>
          <w:marBottom w:val="0"/>
          <w:divBdr>
            <w:top w:val="none" w:sz="0" w:space="0" w:color="auto"/>
            <w:left w:val="none" w:sz="0" w:space="0" w:color="auto"/>
            <w:bottom w:val="none" w:sz="0" w:space="0" w:color="auto"/>
            <w:right w:val="none" w:sz="0" w:space="0" w:color="auto"/>
          </w:divBdr>
        </w:div>
        <w:div w:id="1406609740">
          <w:marLeft w:val="0"/>
          <w:marRight w:val="0"/>
          <w:marTop w:val="0"/>
          <w:marBottom w:val="0"/>
          <w:divBdr>
            <w:top w:val="none" w:sz="0" w:space="0" w:color="auto"/>
            <w:left w:val="none" w:sz="0" w:space="0" w:color="auto"/>
            <w:bottom w:val="none" w:sz="0" w:space="0" w:color="auto"/>
            <w:right w:val="none" w:sz="0" w:space="0" w:color="auto"/>
          </w:divBdr>
        </w:div>
      </w:divsChild>
    </w:div>
    <w:div w:id="1072434825">
      <w:bodyDiv w:val="1"/>
      <w:marLeft w:val="0"/>
      <w:marRight w:val="0"/>
      <w:marTop w:val="0"/>
      <w:marBottom w:val="0"/>
      <w:divBdr>
        <w:top w:val="none" w:sz="0" w:space="0" w:color="auto"/>
        <w:left w:val="none" w:sz="0" w:space="0" w:color="auto"/>
        <w:bottom w:val="none" w:sz="0" w:space="0" w:color="auto"/>
        <w:right w:val="none" w:sz="0" w:space="0" w:color="auto"/>
      </w:divBdr>
      <w:divsChild>
        <w:div w:id="1437869063">
          <w:marLeft w:val="0"/>
          <w:marRight w:val="0"/>
          <w:marTop w:val="0"/>
          <w:marBottom w:val="0"/>
          <w:divBdr>
            <w:top w:val="none" w:sz="0" w:space="0" w:color="auto"/>
            <w:left w:val="none" w:sz="0" w:space="0" w:color="auto"/>
            <w:bottom w:val="none" w:sz="0" w:space="0" w:color="auto"/>
            <w:right w:val="none" w:sz="0" w:space="0" w:color="auto"/>
          </w:divBdr>
          <w:divsChild>
            <w:div w:id="2097358361">
              <w:marLeft w:val="0"/>
              <w:marRight w:val="0"/>
              <w:marTop w:val="0"/>
              <w:marBottom w:val="0"/>
              <w:divBdr>
                <w:top w:val="none" w:sz="0" w:space="0" w:color="auto"/>
                <w:left w:val="none" w:sz="0" w:space="0" w:color="auto"/>
                <w:bottom w:val="none" w:sz="0" w:space="0" w:color="auto"/>
                <w:right w:val="none" w:sz="0" w:space="0" w:color="auto"/>
              </w:divBdr>
            </w:div>
            <w:div w:id="661392272">
              <w:marLeft w:val="0"/>
              <w:marRight w:val="0"/>
              <w:marTop w:val="0"/>
              <w:marBottom w:val="0"/>
              <w:divBdr>
                <w:top w:val="none" w:sz="0" w:space="0" w:color="auto"/>
                <w:left w:val="none" w:sz="0" w:space="0" w:color="auto"/>
                <w:bottom w:val="none" w:sz="0" w:space="0" w:color="auto"/>
                <w:right w:val="none" w:sz="0" w:space="0" w:color="auto"/>
              </w:divBdr>
            </w:div>
            <w:div w:id="6116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6169">
      <w:bodyDiv w:val="1"/>
      <w:marLeft w:val="0"/>
      <w:marRight w:val="0"/>
      <w:marTop w:val="0"/>
      <w:marBottom w:val="0"/>
      <w:divBdr>
        <w:top w:val="none" w:sz="0" w:space="0" w:color="auto"/>
        <w:left w:val="none" w:sz="0" w:space="0" w:color="auto"/>
        <w:bottom w:val="none" w:sz="0" w:space="0" w:color="auto"/>
        <w:right w:val="none" w:sz="0" w:space="0" w:color="auto"/>
      </w:divBdr>
      <w:divsChild>
        <w:div w:id="1208954307">
          <w:marLeft w:val="0"/>
          <w:marRight w:val="0"/>
          <w:marTop w:val="0"/>
          <w:marBottom w:val="0"/>
          <w:divBdr>
            <w:top w:val="none" w:sz="0" w:space="0" w:color="auto"/>
            <w:left w:val="none" w:sz="0" w:space="0" w:color="auto"/>
            <w:bottom w:val="none" w:sz="0" w:space="0" w:color="auto"/>
            <w:right w:val="none" w:sz="0" w:space="0" w:color="auto"/>
          </w:divBdr>
        </w:div>
        <w:div w:id="1573857672">
          <w:marLeft w:val="0"/>
          <w:marRight w:val="0"/>
          <w:marTop w:val="0"/>
          <w:marBottom w:val="0"/>
          <w:divBdr>
            <w:top w:val="none" w:sz="0" w:space="0" w:color="auto"/>
            <w:left w:val="none" w:sz="0" w:space="0" w:color="auto"/>
            <w:bottom w:val="none" w:sz="0" w:space="0" w:color="auto"/>
            <w:right w:val="none" w:sz="0" w:space="0" w:color="auto"/>
          </w:divBdr>
        </w:div>
      </w:divsChild>
    </w:div>
    <w:div w:id="1270040120">
      <w:bodyDiv w:val="1"/>
      <w:marLeft w:val="0"/>
      <w:marRight w:val="0"/>
      <w:marTop w:val="0"/>
      <w:marBottom w:val="0"/>
      <w:divBdr>
        <w:top w:val="none" w:sz="0" w:space="0" w:color="auto"/>
        <w:left w:val="none" w:sz="0" w:space="0" w:color="auto"/>
        <w:bottom w:val="none" w:sz="0" w:space="0" w:color="auto"/>
        <w:right w:val="none" w:sz="0" w:space="0" w:color="auto"/>
      </w:divBdr>
      <w:divsChild>
        <w:div w:id="1753891229">
          <w:marLeft w:val="0"/>
          <w:marRight w:val="0"/>
          <w:marTop w:val="0"/>
          <w:marBottom w:val="0"/>
          <w:divBdr>
            <w:top w:val="none" w:sz="0" w:space="0" w:color="auto"/>
            <w:left w:val="none" w:sz="0" w:space="0" w:color="auto"/>
            <w:bottom w:val="none" w:sz="0" w:space="0" w:color="auto"/>
            <w:right w:val="none" w:sz="0" w:space="0" w:color="auto"/>
          </w:divBdr>
          <w:divsChild>
            <w:div w:id="602961807">
              <w:marLeft w:val="0"/>
              <w:marRight w:val="0"/>
              <w:marTop w:val="0"/>
              <w:marBottom w:val="0"/>
              <w:divBdr>
                <w:top w:val="none" w:sz="0" w:space="0" w:color="auto"/>
                <w:left w:val="none" w:sz="0" w:space="0" w:color="auto"/>
                <w:bottom w:val="none" w:sz="0" w:space="0" w:color="auto"/>
                <w:right w:val="none" w:sz="0" w:space="0" w:color="auto"/>
              </w:divBdr>
            </w:div>
            <w:div w:id="1255475249">
              <w:marLeft w:val="0"/>
              <w:marRight w:val="0"/>
              <w:marTop w:val="0"/>
              <w:marBottom w:val="0"/>
              <w:divBdr>
                <w:top w:val="none" w:sz="0" w:space="0" w:color="auto"/>
                <w:left w:val="none" w:sz="0" w:space="0" w:color="auto"/>
                <w:bottom w:val="none" w:sz="0" w:space="0" w:color="auto"/>
                <w:right w:val="none" w:sz="0" w:space="0" w:color="auto"/>
              </w:divBdr>
            </w:div>
            <w:div w:id="14717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465766A46DFE46BAF5ED2132238AA3" ma:contentTypeVersion="6" ma:contentTypeDescription="Create a new document." ma:contentTypeScope="" ma:versionID="36270959175fcfc3a347b9dd449413c2">
  <xsd:schema xmlns:xsd="http://www.w3.org/2001/XMLSchema" xmlns:xs="http://www.w3.org/2001/XMLSchema" xmlns:p="http://schemas.microsoft.com/office/2006/metadata/properties" xmlns:ns3="94a274f6-1b7c-4ca7-b540-3d0bb4503456" targetNamespace="http://schemas.microsoft.com/office/2006/metadata/properties" ma:root="true" ma:fieldsID="f11d26f218f92556a07c6dd95e8388f6" ns3:_="">
    <xsd:import namespace="94a274f6-1b7c-4ca7-b540-3d0bb4503456"/>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a274f6-1b7c-4ca7-b540-3d0bb4503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4a274f6-1b7c-4ca7-b540-3d0bb4503456" xsi:nil="true"/>
  </documentManagement>
</p:properties>
</file>

<file path=customXml/itemProps1.xml><?xml version="1.0" encoding="utf-8"?>
<ds:datastoreItem xmlns:ds="http://schemas.openxmlformats.org/officeDocument/2006/customXml" ds:itemID="{6CC2402F-9B82-4DB7-B760-7BF603EE9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a274f6-1b7c-4ca7-b540-3d0bb45034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4C72CA-4AB6-4C7F-BD90-D7BD6ACC0CC0}">
  <ds:schemaRefs>
    <ds:schemaRef ds:uri="http://schemas.microsoft.com/sharepoint/v3/contenttype/forms"/>
  </ds:schemaRefs>
</ds:datastoreItem>
</file>

<file path=customXml/itemProps3.xml><?xml version="1.0" encoding="utf-8"?>
<ds:datastoreItem xmlns:ds="http://schemas.openxmlformats.org/officeDocument/2006/customXml" ds:itemID="{647F6D81-16A5-453E-B7E0-6C701C2CD013}">
  <ds:schemaRefs>
    <ds:schemaRef ds:uri="http://purl.org/dc/dcmitype/"/>
    <ds:schemaRef ds:uri="http://schemas.microsoft.com/office/2006/documentManagement/types"/>
    <ds:schemaRef ds:uri="http://schemas.microsoft.com/office/infopath/2007/PartnerControls"/>
    <ds:schemaRef ds:uri="http://purl.org/dc/terms/"/>
    <ds:schemaRef ds:uri="http://schemas.microsoft.com/office/2006/metadata/properties"/>
    <ds:schemaRef ds:uri="http://www.w3.org/XML/1998/namespace"/>
    <ds:schemaRef ds:uri="http://schemas.openxmlformats.org/package/2006/metadata/core-properties"/>
    <ds:schemaRef ds:uri="94a274f6-1b7c-4ca7-b540-3d0bb4503456"/>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439</Words>
  <Characters>2488</Characters>
  <Application>Microsoft Office Word</Application>
  <DocSecurity>0</DocSecurity>
  <Lines>67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rithara kithmanthie</dc:creator>
  <cp:keywords/>
  <dc:description/>
  <cp:lastModifiedBy>Rithara Kithmanthie</cp:lastModifiedBy>
  <cp:revision>2</cp:revision>
  <dcterms:created xsi:type="dcterms:W3CDTF">2025-05-09T01:49:00Z</dcterms:created>
  <dcterms:modified xsi:type="dcterms:W3CDTF">2025-05-09T01:49:00Z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889ce456-dabf-42f6-8549-06ea320b173f</vt:lpwstr>
  </property>
  <property fmtid="{D5CDD505-2E9C-101B-9397-08002B2CF9AE}" pid="3" name="ContentTypeId">
    <vt:lpwstr>0x010100EC465766A46DFE46BAF5ED2132238AA3</vt:lpwstr>
  </property>
</Properties>
</file>