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VERIDIAN PHARMA LTD. — Hyderabad Facility</w:t>
      </w:r>
    </w:p>
    <w:p>
      <w:pPr>
        <w:pStyle w:val="Heading1"/>
      </w:pPr>
      <w:r>
        <w:t>Standard Operating Procedure: Equipment Calibration and Verification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 ID: SOP-LAB-012</w:t>
            </w:r>
          </w:p>
        </w:tc>
        <w:tc>
          <w:tcPr>
            <w:tcW w:type="dxa" w:w="2880"/>
          </w:tcPr>
          <w:p>
            <w:r>
              <w:t>Version: 1.0</w:t>
            </w:r>
          </w:p>
        </w:tc>
        <w:tc>
          <w:tcPr>
            <w:tcW w:type="dxa" w:w="2880"/>
          </w:tcPr>
          <w:p>
            <w:r>
              <w:t>Effective Date: 2026-04-15</w:t>
            </w:r>
          </w:p>
        </w:tc>
      </w:tr>
      <w:tr>
        <w:tc>
          <w:tcPr>
            <w:tcW w:type="dxa" w:w="2880"/>
          </w:tcPr>
          <w:p>
            <w:r>
              <w:t>Owner: Arjun Nair (Lab Manager)</w:t>
            </w:r>
          </w:p>
        </w:tc>
        <w:tc>
          <w:tcPr>
            <w:tcW w:type="dxa" w:w="2880"/>
          </w:tcPr>
          <w:p>
            <w:r>
              <w:t>Department: Laboratory Operations</w:t>
            </w:r>
          </w:p>
        </w:tc>
        <w:tc>
          <w:tcPr>
            <w:tcW w:type="dxa" w:w="2880"/>
          </w:tcPr>
          <w:p>
            <w:r>
              <w:t>Status: Effective</w:t>
            </w:r>
          </w:p>
        </w:tc>
      </w:tr>
    </w:tbl>
    <w:p>
      <w:pPr>
        <w:pStyle w:val="Heading2"/>
      </w:pPr>
      <w:r>
        <w:t>1. Purpose</w:t>
      </w:r>
    </w:p>
    <w:p>
      <w:r>
        <w:t>This standard operating procedure defines the comprehensive requirements, intervals, acceptance criteria, and administrative processes for the calibration and performance verification of all testing instruments and analytical equipment deployed across the quality control laboratories of Veridian Pharma Ltd., Hyderabad.</w:t>
      </w:r>
    </w:p>
    <w:p>
      <w:r>
        <w:t>Instrument accuracy and precision are fundamental to generating legally defensible, cGMP-compliant testing data. This document guarantees that all measurement systems operate within validated limits.</w:t>
      </w:r>
    </w:p>
    <w:p>
      <w:r>
        <w:t>Strict adherence prevents measurement drift, analytical artifacts, and invalid out-of-specification results.</w:t>
      </w:r>
    </w:p>
    <w:p>
      <w:pPr>
        <w:pStyle w:val="Heading2"/>
      </w:pPr>
      <w:r>
        <w:t>2. Scope</w:t>
      </w:r>
    </w:p>
    <w:p>
      <w:r>
        <w:t>Applies across all analytical laboratories, including chromatography, spectroscopy, physical testing, and microbiological laboratories.</w:t>
      </w:r>
    </w:p>
    <w:p>
      <w:r>
        <w:t>Governs all analytical balances, pH meters, HPLC systems, spectrophotometers, dissolution apparatuses, Karl Fischer titrators, and associated metrology tools.</w:t>
      </w:r>
    </w:p>
    <w:p>
      <w:r>
        <w:t>Applies to in-house analysts as well as certified third-party calibration service engineers.</w:t>
      </w:r>
    </w:p>
    <w:p>
      <w:pPr>
        <w:pStyle w:val="Heading2"/>
      </w:pPr>
      <w:r>
        <w:t>3. Responsibilities</w:t>
      </w:r>
    </w:p>
    <w:p>
      <w:pPr>
        <w:pStyle w:val="ListBullet"/>
      </w:pPr>
      <w:r>
        <w:t>QC Testing Analysts: Perform required pre-use verifications, document check values in equipment logs, and report calibration anomalies immediately.</w:t>
      </w:r>
    </w:p>
    <w:p>
      <w:pPr>
        <w:pStyle w:val="ListBullet"/>
      </w:pPr>
      <w:r>
        <w:t>Lab Manager (Arjun Nair): Formulate master calibration schedules, contract qualified vendors, review external calibration certificates, and ensure metrological traceability.</w:t>
      </w:r>
    </w:p>
    <w:p>
      <w:pPr>
        <w:pStyle w:val="ListBullet"/>
      </w:pPr>
      <w:r>
        <w:t>Quality Assurance Instrument Auditor: Conduct independent monthly audits of instrument calibration status, verify traceability standards, and authorize recalibration protocols.</w:t>
      </w:r>
    </w:p>
    <w:p>
      <w:pPr>
        <w:pStyle w:val="Heading2"/>
      </w:pPr>
      <w:r>
        <w:t>4. Procedure</w:t>
      </w:r>
    </w:p>
    <w:p>
      <w:r>
        <w:t>4.1 Pre-Operational Qualification Status: All analytical equipment must be maintained in a qualified and calibrated state prior to executing any GMP testing on commercial or development batches.</w:t>
      </w:r>
    </w:p>
    <w:p>
      <w:r>
        <w:t>4.2 Adherence to Master Calibration Schedules: Equipment calibration schedules must strictly follow established frequencies based on instrument criticality as set forth in Table 1.</w:t>
      </w:r>
    </w:p>
    <w:p>
      <w:r>
        <w:t>4.3 Daily Pre-Use Performance Verifications: Daily verifications must be documented in the corresponding instrument logbook prior to processing sample sequences to detect sudden drift.</w:t>
      </w:r>
    </w:p>
    <w:p>
      <w:r>
        <w:t>4.4 Traceability to International Standards: Calibration standards used for calibration must be traceable to national or international standards (e.g., NABL / NIST) with active calibration certificates.</w:t>
      </w:r>
    </w:p>
    <w:p>
      <w:r>
        <w:t>4.5 Defective Equipment Tagging: Out-of-tolerance equipment tagged “DO NOT USE”.</w:t>
      </w:r>
    </w:p>
    <w:p>
      <w:r>
        <w:t>4.6 Immediate Incident Notification: The instrument custodian shall notify QA and initiate an investigation whenever an instrument fails calibration limits to assess data generated since the last successful check.</w:t>
      </w:r>
    </w:p>
    <w:p>
      <w:r>
        <w:t>4.7 Certificate Review and Formal Release: A formal calibration certificate must be reviewed and countersigned by the Lab Manager before returning equipment to service.</w:t>
      </w:r>
    </w:p>
    <w:p>
      <w:r>
        <w:t>4.8 Affixing External Status Labels: Calibration status tags affixed to the instrument exterior must clearly state the last calibration date and the next due date to provide immediate visual confirmation of usability.</w:t>
      </w:r>
    </w:p>
    <w:p>
      <w:r>
        <w:t>4.9 Archiving of Metrology Records: All calibration worksheets, raw instrument printouts, and calibration certificates must be archived in the permanent instrument master dossier.</w:t>
      </w:r>
    </w:p>
    <w:p>
      <w:r>
        <w:t>Table 1: Routine Equipment Calibration Frequencies and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 Type</w:t>
            </w:r>
          </w:p>
        </w:tc>
        <w:tc>
          <w:tcPr>
            <w:tcW w:type="dxa" w:w="2880"/>
          </w:tcPr>
          <w:p>
            <w:r>
              <w:t>Calibration / Check Frequency</w:t>
            </w:r>
          </w:p>
        </w:tc>
        <w:tc>
          <w:tcPr>
            <w:tcW w:type="dxa" w:w="2880"/>
          </w:tcPr>
          <w:p>
            <w:r>
              <w:t>Acceptance Reference</w:t>
            </w:r>
          </w:p>
        </w:tc>
      </w:tr>
      <w:tr>
        <w:tc>
          <w:tcPr>
            <w:tcW w:type="dxa" w:w="2880"/>
          </w:tcPr>
          <w:p>
            <w:r>
              <w:t>analytical balances</w:t>
            </w:r>
          </w:p>
        </w:tc>
        <w:tc>
          <w:tcPr>
            <w:tcW w:type="dxa" w:w="2880"/>
          </w:tcPr>
          <w:p>
            <w:r>
              <w:t>every 6 months</w:t>
            </w:r>
          </w:p>
        </w:tc>
        <w:tc>
          <w:tcPr>
            <w:tcW w:type="dxa" w:w="2880"/>
          </w:tcPr>
          <w:p>
            <w:r>
              <w:t>Standard weight tolerance Class E2</w:t>
            </w:r>
          </w:p>
        </w:tc>
      </w:tr>
      <w:tr>
        <w:tc>
          <w:tcPr>
            <w:tcW w:type="dxa" w:w="2880"/>
          </w:tcPr>
          <w:p>
            <w:r>
              <w:t>pH meters</w:t>
            </w:r>
          </w:p>
        </w:tc>
        <w:tc>
          <w:tcPr>
            <w:tcW w:type="dxa" w:w="2880"/>
          </w:tcPr>
          <w:p>
            <w:r>
              <w:t>daily before use</w:t>
            </w:r>
          </w:p>
        </w:tc>
        <w:tc>
          <w:tcPr>
            <w:tcW w:type="dxa" w:w="2880"/>
          </w:tcPr>
          <w:p>
            <w:r>
              <w:t>Two-point buffer verification (pH 4.01, 7.00)</w:t>
            </w:r>
          </w:p>
        </w:tc>
      </w:tr>
      <w:tr>
        <w:tc>
          <w:tcPr>
            <w:tcW w:type="dxa" w:w="2880"/>
          </w:tcPr>
          <w:p>
            <w:r>
              <w:t>HPLC</w:t>
            </w:r>
          </w:p>
        </w:tc>
        <w:tc>
          <w:tcPr>
            <w:tcW w:type="dxa" w:w="2880"/>
          </w:tcPr>
          <w:p>
            <w:r>
              <w:t>every 12 months</w:t>
            </w:r>
          </w:p>
        </w:tc>
        <w:tc>
          <w:tcPr>
            <w:tcW w:type="dxa" w:w="2880"/>
          </w:tcPr>
          <w:p>
            <w:r>
              <w:t>Flow rate precision, wavelength accuracy, detector linearity</w:t>
            </w:r>
          </w:p>
        </w:tc>
      </w:tr>
    </w:tbl>
    <w:p>
      <w:pPr>
        <w:pStyle w:val="Heading2"/>
      </w:pPr>
      <w:r>
        <w:t>5. Records and Documentation</w:t>
      </w:r>
    </w:p>
    <w:p>
      <w:r>
        <w:t>Instrument master history files, daily check logs, vendor calibration certificates, and out-of-tolerance deviation records must be maintained throughout the operational lifecycle of the equipment plus five years.</w:t>
      </w:r>
    </w:p>
    <w:p>
      <w:pPr>
        <w:pStyle w:val="Heading2"/>
      </w:pPr>
      <w:r>
        <w:t>6.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Effective Date</w:t>
            </w:r>
          </w:p>
        </w:tc>
        <w:tc>
          <w:tcPr>
            <w:tcW w:type="dxa" w:w="2880"/>
          </w:tcPr>
          <w:p>
            <w:r>
              <w:t>Change Description</w:t>
            </w:r>
          </w:p>
        </w:tc>
      </w:tr>
      <w:tr>
        <w:tc>
          <w:tcPr>
            <w:tcW w:type="dxa" w:w="2880"/>
          </w:tcPr>
          <w:p>
            <w:r>
              <w:t>1.0</w:t>
            </w:r>
          </w:p>
        </w:tc>
        <w:tc>
          <w:tcPr>
            <w:tcW w:type="dxa" w:w="2880"/>
          </w:tcPr>
          <w:p>
            <w:r>
              <w:t>2026-04-15</w:t>
            </w:r>
          </w:p>
        </w:tc>
        <w:tc>
          <w:tcPr>
            <w:tcW w:type="dxa" w:w="2880"/>
          </w:tcPr>
          <w:p>
            <w:r>
              <w:t>Initial release of the laboratory equipment calibration procedure.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