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VERIDIAN PHARMA LTD. — Hyderabad Facility</w:t>
      </w:r>
    </w:p>
    <w:p>
      <w:pPr>
        <w:pStyle w:val="Heading1"/>
      </w:pPr>
      <w:r>
        <w:t>Standard Operating Procedure: Cold Chain Shipping and Temperature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ID: SOP-LAB-025</w:t>
            </w:r>
          </w:p>
        </w:tc>
        <w:tc>
          <w:tcPr>
            <w:tcW w:type="dxa" w:w="2880"/>
          </w:tcPr>
          <w:p>
            <w:r>
              <w:t>Version: 1.0</w:t>
            </w:r>
          </w:p>
        </w:tc>
        <w:tc>
          <w:tcPr>
            <w:tcW w:type="dxa" w:w="2880"/>
          </w:tcPr>
          <w:p>
            <w:r>
              <w:t>Effective Date: 2026-07-08</w:t>
            </w:r>
          </w:p>
        </w:tc>
      </w:tr>
      <w:tr>
        <w:tc>
          <w:tcPr>
            <w:tcW w:type="dxa" w:w="2880"/>
          </w:tcPr>
          <w:p>
            <w:r>
              <w:t>Owner: Arjun Nair (Lab Manager)</w:t>
            </w:r>
          </w:p>
        </w:tc>
        <w:tc>
          <w:tcPr>
            <w:tcW w:type="dxa" w:w="2880"/>
          </w:tcPr>
          <w:p>
            <w:r>
              <w:t>Department: Laboratory Operations</w:t>
            </w:r>
          </w:p>
        </w:tc>
        <w:tc>
          <w:tcPr>
            <w:tcW w:type="dxa" w:w="2880"/>
          </w:tcPr>
          <w:p>
            <w:r>
              <w:t>Status: Effective</w:t>
            </w:r>
          </w:p>
        </w:tc>
      </w:tr>
    </w:tbl>
    <w:p>
      <w:pPr>
        <w:pStyle w:val="Heading2"/>
      </w:pPr>
      <w:r>
        <w:t>1. Purpose</w:t>
      </w:r>
    </w:p>
    <w:p>
      <w:r>
        <w:t>This standard operating procedure governs the validated packaging, temperature conditioning, documentation, and dispatch of temperature-sensitive analytical, stability, and reference standard samples from Veridian Pharma Ltd., Hyderabad.</w:t>
      </w:r>
    </w:p>
    <w:p>
      <w:r>
        <w:t>The objective is to preserve cold chain integrity during transport to contract testing laboratories, clinical study sites, and inter-company testing facilities, ensuring no thermal degradation occurs during distribution.</w:t>
      </w:r>
    </w:p>
    <w:p>
      <w:r>
        <w:t>Strict adherence to validated thermal packaging configurations guarantees sample stability under external climatic fluctuations.</w:t>
      </w:r>
    </w:p>
    <w:p>
      <w:pPr>
        <w:pStyle w:val="Heading2"/>
      </w:pPr>
      <w:r>
        <w:t>2. Scope</w:t>
      </w:r>
    </w:p>
    <w:p>
      <w:r>
        <w:t>Applies to all laboratory samples requiring refrigerated distribution shipped by the Laboratory Operations department.</w:t>
      </w:r>
    </w:p>
    <w:p>
      <w:r>
        <w:t>Encompasses active drug substance samples, formulated drug product release samples, stability test pulls, and biological working standards.</w:t>
      </w:r>
    </w:p>
    <w:p>
      <w:r>
        <w:t>Governs packing technicians, shipping coordinators, and dedicated logistics service providers.</w:t>
      </w:r>
    </w:p>
    <w:p>
      <w:pPr>
        <w:pStyle w:val="Heading2"/>
      </w:pPr>
      <w:r>
        <w:t>3. Responsibilities</w:t>
      </w:r>
    </w:p>
    <w:p>
      <w:pPr>
        <w:pStyle w:val="ListBullet"/>
      </w:pPr>
      <w:r>
        <w:t>Shipping Technician: Condition thermal packaging components, pack payloads according to validated configurations, and insert calibrated temperature loggers.</w:t>
      </w:r>
    </w:p>
    <w:p>
      <w:pPr>
        <w:pStyle w:val="ListBullet"/>
      </w:pPr>
      <w:r>
        <w:t>Lab Manager (Arjun Nair): Approve sample transfer requests, review temperature data downloads upon receipt, and initiate investigations into cold chain excursions.</w:t>
      </w:r>
    </w:p>
    <w:p>
      <w:pPr>
        <w:pStyle w:val="ListBullet"/>
      </w:pPr>
      <w:r>
        <w:t>Logistics Coordinator: Coordinate priority transit with approved couriers and ensure shipments depart on designated schedule days.</w:t>
      </w:r>
    </w:p>
    <w:p>
      <w:pPr>
        <w:pStyle w:val="Heading2"/>
      </w:pPr>
      <w:r>
        <w:t>4. Procedure</w:t>
      </w:r>
    </w:p>
    <w:p>
      <w:r>
        <w:t>4.1 Thermal Container Qualification: All refrigerated samples must be packed in qualified insulated thermal shipping containers prior to pickup to ensure thermal barrier performance.</w:t>
      </w:r>
    </w:p>
    <w:p>
      <w:r>
        <w:t>4.2 Gel Pack Pre-Conditioning: Refrigerated thermal gel packs must be conditioned at the designated stabilization temperature for at least 48 hours prior to packout.</w:t>
      </w:r>
    </w:p>
    <w:p>
      <w:r>
        <w:t>4.3 Thermal Range and Transit Limitation: Covers only 2-8 °C shipments using gel packs, 24-hour transit max.</w:t>
      </w:r>
    </w:p>
    <w:p>
      <w:r>
        <w:t>4.4 Continuous Datalogger Placement: Temperature dataloggers must be activated, verified, and placed directly adjacent to the sample vials inside the primary pay-load compartment.</w:t>
      </w:r>
    </w:p>
    <w:p>
      <w:r>
        <w:t>4.5 Payload Shock Mitigation: The payload chamber must be cushioned to eliminate physical movement and shock during transit using pharmaceutical-grade bubble wrap.</w:t>
      </w:r>
    </w:p>
    <w:p>
      <w:r>
        <w:t>4.6 Documentation Envelope Placement: Consignment documentation, including shipping manifest and cold chain chain-of-custody forms, must be placed on top of the insulated lid before outer sealing.</w:t>
      </w:r>
    </w:p>
    <w:p>
      <w:r>
        <w:t>4.7 External Security Labeling: The shipping box must be sealed with security tape and tagged with external refrigerated handling warnings to ensure prompt cold-room placement upon arrival.</w:t>
      </w:r>
    </w:p>
    <w:p>
      <w:r>
        <w:t>4.8 Courier Dispatch Scheduling: Shipments must be scheduled only on approved courier dispatch days to avoid transit weekend delays and unplanned warehouse layovers.</w:t>
      </w:r>
    </w:p>
    <w:p>
      <w:pPr>
        <w:pStyle w:val="Heading2"/>
      </w:pPr>
      <w:r>
        <w:t>5. Records and Documentation</w:t>
      </w:r>
    </w:p>
    <w:p>
      <w:r>
        <w:t>Cold Chain Shipping Registers, datalogger calibration certificates, electronic temperature download curves, and courier delivery acknowledgments must be filed with each transfer order.</w:t>
      </w:r>
    </w:p>
    <w:p>
      <w:pPr>
        <w:pStyle w:val="Heading2"/>
      </w:pPr>
      <w:r>
        <w:t>6.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Effective Date</w:t>
            </w:r>
          </w:p>
        </w:tc>
        <w:tc>
          <w:tcPr>
            <w:tcW w:type="dxa" w:w="2880"/>
          </w:tcPr>
          <w:p>
            <w:r>
              <w:t>Change Description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2026-07-08</w:t>
            </w:r>
          </w:p>
        </w:tc>
        <w:tc>
          <w:tcPr>
            <w:tcW w:type="dxa" w:w="2880"/>
          </w:tcPr>
          <w:p>
            <w:r>
              <w:t>Initial release for cold chain shipping procedures.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