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365D"/>
          <w:sz w:val="56"/>
        </w:rPr>
        <w:t>GIGAFIBER</w:t>
      </w:r>
    </w:p>
    <w:p>
      <w:pPr>
        <w:jc w:val="center"/>
      </w:pPr>
      <w:r>
        <w:rPr>
          <w:rFonts w:ascii="Calibri" w:hAnsi="Calibri"/>
          <w:b/>
          <w:color w:val="1A365D"/>
          <w:sz w:val="44"/>
        </w:rPr>
        <w:t>Informe de Auditoría de Red</w:t>
      </w:r>
    </w:p>
    <w:p>
      <w:pPr>
        <w:jc w:val="center"/>
      </w:pPr>
      <w:r>
        <w:rPr>
          <w:rFonts w:ascii="Calibri" w:hAnsi="Calibri"/>
          <w:b w:val="0"/>
          <w:color w:val="4A5568"/>
          <w:sz w:val="28"/>
        </w:rPr>
        <w:t>GPON · OLT MA5608T · MikroTik MK2 · CRS310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9 de septiembre de 2026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Alcance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Lectura live (SSH OLT/CRS, REST MK2, SmartOLT, GenieACS NBI)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Escrituras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Ninguna. Sin cambios de red ni de código.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Perímetro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OLT MA5608T, MK2 (CCR2116), CRS310, túneles VPS. MK1 fuera del plano de datos.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Objetivo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Performance, coherencia, escalabilidad y mejoras de valor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color w:val="718096"/>
          <w:sz w:val="20"/>
        </w:rPr>
        <w:t>Clasificación: interno · Uso técnico y de decisión</w:t>
      </w:r>
    </w:p>
    <w:p>
      <w:r>
        <w:br w:type="page"/>
      </w:r>
    </w:p>
    <w:p>
      <w:pPr>
        <w:pStyle w:val="Heading1"/>
      </w:pPr>
      <w:r>
        <w:rPr>
          <w:color w:val="1A365D"/>
        </w:rPr>
        <w:t>1. Resumen ejecutivo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La red GPON de Gigafiber está operativa y el MikroTik MK2 (CCR2116) tiene capacidad de sobra (7 % de CPU, 15,8 GB libres). Los cuellos de botella no son de hardware: son de enforcement (el corte por deuda no corta), de coherencia de inventario (235 ONUs desfasadas entre OLT y SmartOLT), de disciplina de colas ante una sobresuscripción 41:1, y de un modelo de abonado híbrido (IP estática + PPPoE) que el backend solo conoce a medias.</w:t>
      </w:r>
    </w:p>
    <w:p>
      <w:pPr>
        <w:spacing w:after="200"/>
      </w:pPr>
      <w:r>
        <w:rPr>
          <w:rFonts w:ascii="Calibri" w:hAnsi="Calibri"/>
          <w:b/>
          <w:color w:val="8B1A1A"/>
          <w:sz w:val="22"/>
        </w:rPr>
        <w:t xml:space="preserve">Hallazgo crítico: </w:t>
      </w:r>
      <w:r>
        <w:rPr>
          <w:rFonts w:ascii="Calibri" w:hAnsi="Calibri"/>
          <w:b w:val="0"/>
          <w:sz w:val="22"/>
        </w:rPr>
        <w:t>La regla firewall «CORTADO POR DEUDA» es la última de 18 en la cadena forward. Delante hay accept en blanco por interfaz (LAN_MK1 y sfp-sfpplus2). RouterOS acepta el tráfico antes de evaluar la lista deudores. Evidencia: 16 de 42 deudores con descarga activa (1,44 GB acumulados) y 56 cancelados con tráfico (5,6 GB).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Mejoras de mayor valor (sin ejecutar en esta auditoría):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P0 — Corregir el orden de la regla drop (place-before) y reconciliar BD ↔ colas MK2.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P0 — Habilitar telemetría (traffic-flow / SNMP): sin histórico no hay planeamiento de capacidad.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P0 — Reconciliar los 235 desfasados OLT VLAN 100 vs SmartOLT vlan=1 antes de más oleadas.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Horizonte — Unificar en PPPoE (ya hay 123 secrets vivos) y pasar el NNI a trunk 802.1Q + LACP.</w:t>
      </w:r>
    </w:p>
    <w:p>
      <w:pPr>
        <w:pStyle w:val="Heading1"/>
      </w:pPr>
      <w:r>
        <w:rPr>
          <w:color w:val="1A365D"/>
        </w:rPr>
        <w:t>2. Arquitectura L2: quién gobierna las VLANs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La VLAN de abonado la pinta la OLT (service-port vlan N + user-vlan N + tag-transform translate + native NNI). MK2 es gateway L3 untagged por SFP. La única 802.1Q en el CCR es WAN VLAN 450. Dual-WAN TR-069 = dos IPs en VLAN 100, no dos VLANs.</w:t>
      </w:r>
    </w:p>
    <w:p>
      <w:pPr>
        <w:spacing w:after="160" w:before="0"/>
      </w:pPr>
      <w:r>
        <w:rPr>
          <w:rFonts w:ascii="Calibri" w:hAnsi="Calibri"/>
          <w:b/>
          <w:sz w:val="22"/>
        </w:rPr>
        <w:t>Flujo canónico VLAN 100: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ONU WAN user-vlan 100  →  OLT SP vlan 100  →  NNI 0/3/2 native 100 untagged  →  MK2 sfp-sfpplus2</w:t>
      </w:r>
    </w:p>
    <w:p>
      <w:pPr>
        <w:pStyle w:val="Heading2"/>
      </w:pPr>
      <w:r>
        <w:rPr>
          <w:color w:val="1A365D"/>
        </w:rPr>
        <w:t>2.1 Evidencia live — 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Caja</w:t>
            </w:r>
          </w:p>
        </w:tc>
        <w:tc>
          <w:tcPr>
            <w:tcW w:type="dxa" w:w="6236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OLT display vlan 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20"/>
              </w:rPr>
              <w:t>Native 1 en 0/3/3 up. 0/3/2 no está en VLAN 1.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OLT display vlan 100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Native 100 en 0/3/2 up. 421 SP (405 up / 16 down).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OLT MCU 0/3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20"/>
              </w:rPr>
              <w:t>native-vlan 2 vlan 100.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Lab 0/1/6 ont 117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SP #1851 vlan 100, FLOW PARA 100, up.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MK2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20"/>
              </w:rPr>
              <w:t>Cero /interface vlan de cliente. Solo VLAN 450 WAN.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CRS310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Switch L2, vlan-filtering=no, SVI 450 38.224.231.8. ROS 6.49.6. SSH sin allowlist.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CRS CPU ~80–83 %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20"/>
              </w:rPr>
              <w:t>Artefacto de reporte: /tool profile = management 0,5 %. No es cuello de botella.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MK1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Fuera del plano de datos (~2,5 Mbps). SSH/REST abiertos desde Internet.</w:t>
            </w:r>
          </w:p>
        </w:tc>
      </w:tr>
    </w:tbl>
    <w:p/>
    <w:p>
      <w:pPr>
        <w:pStyle w:val="Heading2"/>
      </w:pPr>
      <w:r>
        <w:rPr>
          <w:color w:val="1A365D"/>
        </w:rPr>
        <w:t>2.2 Decisiones ya cerradas (grill)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</w:t>
            </w:r>
          </w:p>
        </w:tc>
        <w:tc>
          <w:tcPr>
            <w:tcW w:type="dxa" w:w="737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Q1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b w:val="0"/>
                <w:sz w:val="20"/>
              </w:rPr>
              <w:t>B+C: VLAN 1 permanece en NNI propio mientras haya residual. Destino = oleadas a VLAN 100.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Q2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VLAN 100 plana; capacidad = más /24 en el mismo NNI. No QinQ ahora.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Q3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b w:val="0"/>
                <w:sz w:val="20"/>
              </w:rPr>
              <w:t>Dual-WAN .255 se queda en VLAN 100. Ordenar docs /24 vs /22.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Q4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WireGuard es el control-plane VPS. Address GRE *22 es basura.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20"/>
              </w:rPr>
              <w:t>Cancelados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b w:val="0"/>
                <w:sz w:val="20"/>
              </w:rPr>
              <w:t>El corte de CANCELADOS permanece desactivado por decisión de negocio (por ahora).</w:t>
            </w:r>
          </w:p>
        </w:tc>
      </w:tr>
    </w:tbl>
    <w:p/>
    <w:p>
      <w:pPr>
        <w:spacing w:after="160" w:before="0"/>
      </w:pPr>
      <w:r>
        <w:rPr>
          <w:rFonts w:ascii="Calibri" w:hAnsi="Calibri"/>
          <w:b w:val="0"/>
          <w:sz w:val="22"/>
        </w:rPr>
        <w:t>Gate de Q1-C: no seguir oleadas hasta reconciliar los 235 desfasados.</w:t>
      </w:r>
    </w:p>
    <w:p>
      <w:pPr>
        <w:pStyle w:val="Heading1"/>
      </w:pPr>
      <w:r>
        <w:rPr>
          <w:color w:val="1A365D"/>
        </w:rPr>
        <w:t>3. Cruce de inventario OLT ↔ SmartOLT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Clave slot/port/ont. SmartOLT: 818 ONUs (631 vlan=1, 187 vlan=100).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Cruce</w:t>
            </w:r>
          </w:p>
        </w:tc>
        <w:tc>
          <w:tcPr>
            <w:tcW w:type="dxa" w:w="340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OLT VLAN100 up y SmartOLT vlan=100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170</w:t>
            </w:r>
          </w:p>
        </w:tc>
      </w:tr>
      <w:tr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OLT VLAN100 up y SmartOLT vlan=1 (desfasado)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235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OLT VLAN100 up ausente de SmartOLT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SmartOLT vlan=100 y OLT down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SmartOLT vlan=100 no en dump OLT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2 (TESTHU, tes2)</w:t>
            </w:r>
          </w:p>
        </w:tc>
      </w:tr>
    </w:tbl>
    <w:p/>
    <w:p>
      <w:pPr>
        <w:spacing w:after="160" w:before="0"/>
      </w:pPr>
      <w:r>
        <w:rPr>
          <w:rFonts w:ascii="Calibri" w:hAnsi="Calibri"/>
          <w:b w:val="0"/>
          <w:sz w:val="22"/>
        </w:rPr>
        <w:t>El «421 vs 185» no es tagging misterioso: CloudOLT no se actualizó cuando el SP pasó a 100. Riesgo L3: ARP en sfp-sfpplus2 tiene 224 hosts 192.168.30.x. Si parte de los 235 sigue con gateway en LAN_MK1, el tráfico L2 sale por 0/3/2 y no encuentra el GW.</w:t>
      </w:r>
    </w:p>
    <w:p>
      <w:pPr>
        <w:pStyle w:val="Heading1"/>
      </w:pPr>
      <w:r>
        <w:rPr>
          <w:color w:val="1A365D"/>
        </w:rPr>
        <w:t>4. Enforcement: el corte por deuda no corta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La cadena forward de MK2 tiene 18 reglas. La regla drop src-address-list=deudores es la número 18. Delante hay dos accept sin condición de origen: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Cadena</w:t>
            </w:r>
          </w:p>
        </w:tc>
        <w:tc>
          <w:tcPr>
            <w:tcW w:type="dxa" w:w="1417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26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Paquetes</w:t>
            </w:r>
          </w:p>
        </w:tc>
        <w:tc>
          <w:tcPr>
            <w:tcW w:type="dxa" w:w="311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accept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14.161.895.469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OLT sfp-sfpplus2 forward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accept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52.964.771.480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LAN_MK1 forward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forward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drop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58.978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20"/>
              </w:rPr>
              <w:t>CORTADO POR DEUDA — lista deudores</w:t>
            </w:r>
          </w:p>
        </w:tc>
      </w:tr>
    </w:tbl>
    <w:p/>
    <w:p>
      <w:pPr>
        <w:spacing w:after="160" w:before="0"/>
      </w:pPr>
      <w:r>
        <w:rPr>
          <w:rFonts w:ascii="Calibri" w:hAnsi="Calibri"/>
          <w:b w:val="0"/>
          <w:sz w:val="22"/>
        </w:rPr>
        <w:t>RouterOS corta el recorrido en el primer accept: el tráfico de cualquier abonado se acepta antes de llegar al drop.</w:t>
      </w:r>
    </w:p>
    <w:p>
      <w:pPr>
        <w:pStyle w:val="Heading2"/>
      </w:pPr>
      <w:r>
        <w:rPr>
          <w:color w:val="1A365D"/>
        </w:rPr>
        <w:t>4.1 Evidencia en vivo (conntrack)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16 de 42 deudores con tráfico bidireccional; 1,44 GB acumulados en conexiones abiertas.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192.168.210.23 bajando a ~7,7 Mbps; 192.168.210.46 a ~1,1 Mbps. Los 16 llegan por LAN_MK1.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56 suscripciones CANCELLED con tráfico activo; 5,6 GB acumulados.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Solo 35 de 499 canceladas están en alguna address-list.</w:t>
      </w:r>
    </w:p>
    <w:p>
      <w:pPr>
        <w:pStyle w:val="Heading2"/>
      </w:pPr>
      <w:r>
        <w:rPr>
          <w:color w:val="1A365D"/>
        </w:rPr>
        <w:t>4.2 Causa en código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MikroTikService.createFirewallDropRule hace session.add(...) sin place-before. ServiceCutManagerService borra y recrea la regla en cada corrida, así que siempre reaparece al final de la cadena. Además, processAndLogCancelledSubscriptions está comentada (decisión de negocio: por ahora se deja así).</w:t>
      </w:r>
    </w:p>
    <w:p>
      <w:pPr>
        <w:pStyle w:val="Heading1"/>
      </w:pPr>
      <w:r>
        <w:rPr>
          <w:color w:val="1A365D"/>
        </w:rPr>
        <w:t>5. Plano de datos MK2 — capacidad y colas</w:t>
      </w:r>
    </w:p>
    <w:p>
      <w:pPr>
        <w:pStyle w:val="Heading2"/>
      </w:pPr>
      <w:r>
        <w:rPr>
          <w:color w:val="1A365D"/>
        </w:rPr>
        <w:t>5.1 Capacidad y reparto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5669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WAN contratada (Tarazona)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4 Gbps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WAN medida (muestra 10 s, ~10:16)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1,53 Gbps rx en VLAN 450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sfp-sfpplus3 (VLAN 1 legado) tx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1.066 Mbps (~75 %)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sfp-sfpplus2 (VLAN 100) tx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359 Mbps (~25 %)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MK2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CCR2116-12G-4S+, ROS 7.23.2, 16 núcleos, CPU ~7 %, 15,8 GB libres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Conntrack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~64k / 1.048.576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ARP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2.299 total; 442 sfp2; 1.821 LAN_MK1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Queues simple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966 (185 en 192.168.30; resto pools VLAN 1 en MK2)</w:t>
            </w:r>
          </w:p>
        </w:tc>
      </w:tr>
    </w:tbl>
    <w:p/>
    <w:p>
      <w:pPr>
        <w:spacing w:after="160" w:before="0"/>
      </w:pPr>
      <w:r>
        <w:rPr>
          <w:rFonts w:ascii="Calibri" w:hAnsi="Calibri"/>
          <w:b w:val="0"/>
          <w:sz w:val="22"/>
        </w:rPr>
        <w:t>El router no es el cuello de botella. Lo son la capacidad WAN y la disciplina de colas. Techo estimado: ~1,85 Mbps por abonado activo en esa muestra → ~2.100 abonados sobre 4 Gbps. La cifra es indicativa: traffic-flow y SNMP están deshabilitados; no hay histórico de hora punta.</w:t>
      </w:r>
    </w:p>
    <w:p>
      <w:pPr>
        <w:pStyle w:val="Heading2"/>
      </w:pPr>
      <w:r>
        <w:rPr>
          <w:color w:val="1A365D"/>
        </w:rPr>
        <w:t>5.2 Colas y sobresuscripción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966 simple queues; 738 a 200M/200M; todas con queue=default-small (pfifo 10 paquetes), sin parent.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CIR vendido ~165 Gbps vs WAN 4 Gbps → sobresuscripción ~41:1, sin cola agregada que arbitre.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hay queue tree. Fasttrack ausente (correcto: anularía las colas).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Pregunta de negocio: plan básico 200/200 simétrico vs upstream GPON 1,25 Gbps compartido por PON.</w:t>
      </w:r>
    </w:p>
    <w:p>
      <w:pPr>
        <w:pStyle w:val="Heading2"/>
      </w:pPr>
      <w:r>
        <w:rPr>
          <w:color w:val="1A365D"/>
        </w:rPr>
        <w:t>5.3 Coherencia BD ↔ MK2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340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ACTIVE con IP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827</w:t>
            </w:r>
          </w:p>
        </w:tc>
      </w:tr>
      <w:tr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ACTIVE sin cola en MK2 (sin límite)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27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Colas con velocidad ≠ plan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Colas huérfanas (sin subscription)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96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20"/>
              </w:rPr>
              <w:t>Colas de canceladas aún presentes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subscription.vlan = NULL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1.321 de 1.329</w:t>
            </w:r>
          </w:p>
        </w:tc>
      </w:tr>
    </w:tbl>
    <w:p/>
    <w:p>
      <w:pPr>
        <w:pStyle w:val="Heading2"/>
      </w:pPr>
      <w:r>
        <w:rPr>
          <w:color w:val="1A365D"/>
        </w:rPr>
        <w:t>5.4 Dominio de broadcast e IPAM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Bridge LAN_MK1: ether4–8 + sfp-sfpplus3; 1.821 ARP; mezcla GPON VLAN 1 con radio (PowerBeam, NanoBeam, CRS112, RB960).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29 gateways /24 superpuestos en el mismo bridge + los de sfp-sfpplus2, sin plan de direccionamiento.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192.169.22.1/24 no es espacio privado (bloque público IANA usado como RFC1918).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IPv6: 57 link-local, ninguna global útil.</w:t>
      </w:r>
    </w:p>
    <w:p>
      <w:pPr>
        <w:pStyle w:val="Heading2"/>
      </w:pPr>
      <w:r>
        <w:rPr>
          <w:color w:val="1A365D"/>
        </w:rPr>
        <w:t>5.5 Higiene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Dos rutas por defecto duplicadas al mismo gateway.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Tres dst-nat CloudOLT; uno con 0 paquetes.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IP GRE huérfana 10.255.255.1/30 en *22; WG es el túnel vivo.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DNS MK2 → 8.8.8.8, allow-remote-requests=false, caché 56/2048.</w:t>
      </w:r>
    </w:p>
    <w:p>
      <w:pPr>
        <w:pStyle w:val="Heading1"/>
      </w:pPr>
      <w:r>
        <w:rPr>
          <w:color w:val="1A365D"/>
        </w:rPr>
        <w:t>6. Decisiones de arquitectura (veredictos)</w:t>
      </w:r>
    </w:p>
    <w:p>
      <w:pPr>
        <w:pStyle w:val="Heading2"/>
      </w:pPr>
      <w:r>
        <w:rPr>
          <w:color w:val="1A365D"/>
        </w:rPr>
        <w:t>6.1 ¿Pasar la gestión de VLANs al MikroTik?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No se trata de quitarle las VLANs a la OLT (el service-port por ONU es inherente a GPON). Lo que conviene es pasar el NNI de native-vlan untagged a trunk 802.1Q y terminar cada VLAN en MK2 como /interface vlan.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Argumento físico: el MCU 0/3 tiene solo dos puertos de 10G y ambos están ocupados (0/3/2 VLAN 100, 0/3/3 VLAN 1). Cada VLAN nueva cuesta un puerto de 10G que ya no existe. Con trunk, N VLANs caben en un puerto y el segundo 10G queda libre para LACP (redundancia y 20 Gbps).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Advertencias: verificar hardware offload con vlan-filtering=yes en el CCR2116; el cutover del NNI afecta a todos los abonados del puerto a la vez.</w:t>
      </w:r>
    </w:p>
    <w:p>
      <w:pPr>
        <w:pStyle w:val="Heading2"/>
      </w:pPr>
      <w:r>
        <w:rPr>
          <w:color w:val="1A365D"/>
        </w:rPr>
        <w:t>6.2 ¿PPPoE en lugar de IP estática?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PPPoE ya está corriendo en MK2: 123 secrets, 51 sesiones activas, servidor sobre LAN_MK1, perfiles con rate-limit por plan, y perfil CORTE DE SERVICIO 1k/1k con cero secrets asignados.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835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Rate limit</w:t>
            </w:r>
          </w:p>
        </w:tc>
        <w:tc>
          <w:tcPr>
            <w:tcW w:type="dxa" w:w="2835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Secrets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PLAN 50 SOLES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200M/200M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82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PLAN 70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300M/300M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PLAN 70 NEW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400M/400M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PLAN 150 SOLES NEW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600M/600M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20"/>
              </w:rPr>
              <w:t>CORTE DE SERVICIO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1k/1k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/>
    <w:p>
      <w:pPr>
        <w:spacing w:after="160" w:before="0"/>
      </w:pPr>
      <w:r>
        <w:rPr>
          <w:rFonts w:ascii="Calibri" w:hAnsi="Calibri"/>
          <w:b w:val="0"/>
          <w:sz w:val="22"/>
        </w:rPr>
        <w:t>Coexisten ~827 abonados con IP estática (backend + 966 queues + address-list) y 123 por PPPoE (manual en el router, desconocidos para el backend). Ninguno corta bien hoy.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Veredicto: estandarizar en PPPoE, justificado por el fallo de enforcement. El corte pasa a cambio de perfil o disabled=yes; la identidad deja de ser una IP robable; 966 objetos se vuelven ~12 perfiles. Condiciones: medir CPU en piloto (PPPoE no es offloadable); MTU 1480 con MSS clamping; ejecutar en la misma oleada que VLAN 100. Alternativa intermedia: DHCP + Option 82 (control de IP, conserva offload, no autentica ni aísla).</w:t>
      </w:r>
    </w:p>
    <w:p>
      <w:pPr>
        <w:pStyle w:val="Heading2"/>
      </w:pPr>
      <w:r>
        <w:rPr>
          <w:color w:val="1A365D"/>
        </w:rPr>
        <w:t>6.3 Preguntas abiertas de negocio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Ratio de sobresuscripción aceptado (41:1) y si se quiere cola agregada con priorización.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Planes 200/200 simétricos vs 1,25 Gbps upstream compartido por puerto PON.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MK2 como SPOF sin VRRP; MK1 ocioso como candidato a par.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Un solo uplink / default gateway; sin ASN/BGP no hay multihoming real.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CGNAT de facto sobre /27 sin bloques de puertos ni logging (OSIPTEL).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port-isolate en OLT VLAN 100: sin él, ~224 hosts se ven entre sí en L2.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Descartado: TV por overlay RF 1550 nm → igmp-snooping=false no impacta.</w:t>
      </w:r>
    </w:p>
    <w:p>
      <w:pPr>
        <w:pStyle w:val="Heading1"/>
      </w:pPr>
      <w:r>
        <w:rPr>
          <w:color w:val="1A365D"/>
        </w:rPr>
        <w:t>7. Backlog priorizado de mejoras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Nada de esto se ejecutó en la auditoría. Prioridad por valor /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3969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85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Por qué aporta valor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place-before en drop deudores + test de orden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Diferencia entre cobrar y no cobrar.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Reconciliar 27 sin cola / 4 mismatch / 96 huérfanas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Coherencia BD ↔ red; evitar clientes sin límite.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traffic-flow + SNMP en MK2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Prerequisito de capacidad; hoy no hay histórico.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P0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Lista de 235 + sync SmartOLT vlan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Gate de oleadas a VLAN 100.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Piloto cake/fq-codel + cola padre por NNI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Bufferbloat y arbitraje 41:1.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DNS cacheante en MK2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~1.300 abonados van a 8.8.8.8.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Cerrar SSH/REST MK1; VRRP o decomiso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Superficie de ataque; HA con hardware ya pagado.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Firewall default-drop con excepciones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Hoy son accept en blanco + drops al final.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Allowlist SSH/Winbox CRS; limpiar GRE *22 y dst-nat muerto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Higiene y superficie.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Segmentar LAN_MK1; IPAM; retirar 192.169.22; poblar subscription.vlan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Escalabilidad L2/L3.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20"/>
              </w:rPr>
              <w:t>12–18 m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20"/>
              </w:rPr>
              <w:t>PPPoE unificado; NNI trunk+LACP; IPv6; VRRP; BGP si multihoming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20"/>
              </w:rPr>
              <w:t>Techo real de crecimiento.</w:t>
            </w:r>
          </w:p>
        </w:tc>
      </w:tr>
    </w:tbl>
    <w:p/>
    <w:p>
      <w:pPr>
        <w:pStyle w:val="Heading1"/>
      </w:pPr>
      <w:r>
        <w:rPr>
          <w:color w:val="1A365D"/>
        </w:rPr>
        <w:t>8. Qué no cambiar ahora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QinQ / NNI tagged en producción sin piloto y ventana.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aislar .255 en otra VLAN OLT solo por orden cosmético.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más IPv4 público más allá del /27 actual (salvo decisión comercial).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SSH extra a la OLT (riesgo VTY).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No writes a MK/CRS/ONU de clientes (salvo ONU lab).</w:t>
      </w:r>
    </w:p>
    <w:p>
      <w:pPr>
        <w:pStyle w:val="Heading1"/>
      </w:pPr>
      <w:r>
        <w:rPr>
          <w:color w:val="1A365D"/>
        </w:rPr>
        <w:t>9. Metodología y fuentes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SSH OLT MA5608T (display vlan, service-port, MCU).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REST API MikroTik MK2 38.224.231.4 (interfaces, firewall, queues, ARP, PPP, rutas).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SSH CRS310 38.224.231.8 (rates, resource, profile).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SmartOLT inventario completo vs dump OLT VLAN 100.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GenieACS NBI (caché lab ONU).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MySQL ispadmin_dev: subscription, plan, network_device.</w:t>
      </w:r>
    </w:p>
    <w:p>
      <w:pPr>
        <w:pStyle w:val="ListBullet"/>
        <w:ind w:left="283"/>
      </w:pPr>
      <w:r>
        <w:rPr>
          <w:rFonts w:ascii="Calibri" w:hAnsi="Calibri"/>
          <w:b w:val="0"/>
          <w:sz w:val="22"/>
        </w:rPr>
        <w:t>Código: MikroTikService.kt, ServiceCutManagerService.kt.</w:t>
      </w:r>
    </w:p>
    <w:p/>
    <w:p>
      <w:pPr>
        <w:jc w:val="center"/>
      </w:pPr>
      <w:r>
        <w:rPr>
          <w:rFonts w:ascii="Calibri" w:hAnsi="Calibri"/>
          <w:b w:val="0"/>
          <w:color w:val="718096"/>
          <w:sz w:val="20"/>
        </w:rPr>
        <w:t>Fin del informe — 2026-09-09 — Gigafiber / IspAdmin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