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3CD0" w14:textId="74017273" w:rsidR="002F72AF" w:rsidRPr="002F72AF" w:rsidRDefault="002F72AF" w:rsidP="002F72AF">
      <w:pPr>
        <w:rPr>
          <w:b/>
          <w:bCs/>
          <w:sz w:val="28"/>
          <w:szCs w:val="28"/>
        </w:rPr>
      </w:pPr>
      <w:r w:rsidRPr="002F72AF">
        <w:rPr>
          <w:b/>
          <w:bCs/>
          <w:sz w:val="28"/>
          <w:szCs w:val="28"/>
        </w:rPr>
        <w:t>Tableau Dashboard Reflection</w:t>
      </w:r>
      <w:r>
        <w:rPr>
          <w:b/>
          <w:bCs/>
          <w:sz w:val="28"/>
          <w:szCs w:val="28"/>
        </w:rPr>
        <w:t xml:space="preserve"> :</w:t>
      </w:r>
    </w:p>
    <w:p w14:paraId="1BC4E470" w14:textId="77777777" w:rsidR="002F72AF" w:rsidRPr="002F72AF" w:rsidRDefault="002F72AF" w:rsidP="002F72AF">
      <w:pPr>
        <w:rPr>
          <w:sz w:val="28"/>
          <w:szCs w:val="28"/>
        </w:rPr>
      </w:pPr>
      <w:r w:rsidRPr="002F72AF">
        <w:rPr>
          <w:sz w:val="28"/>
          <w:szCs w:val="28"/>
        </w:rPr>
        <w:t xml:space="preserve">The Tableau dashboard can help a sales manager </w:t>
      </w:r>
      <w:proofErr w:type="gramStart"/>
      <w:r w:rsidRPr="002F72AF">
        <w:rPr>
          <w:sz w:val="28"/>
          <w:szCs w:val="28"/>
        </w:rPr>
        <w:t>make a decision</w:t>
      </w:r>
      <w:proofErr w:type="gramEnd"/>
      <w:r w:rsidRPr="002F72AF">
        <w:rPr>
          <w:sz w:val="28"/>
          <w:szCs w:val="28"/>
        </w:rPr>
        <w:t xml:space="preserve"> about which regions and product categories require additional attention. For example, a manager can use the geographic map to identify a region with lower sales performance, use the category bar chart to determine which product category is responsible for the weak performance, and use the sales trend line to understand whether the decline is temporary or part of a longer-term trend.</w:t>
      </w:r>
    </w:p>
    <w:p w14:paraId="6B7C4D3D" w14:textId="77777777" w:rsidR="002F72AF" w:rsidRPr="002F72AF" w:rsidRDefault="002F72AF" w:rsidP="002F72AF">
      <w:pPr>
        <w:rPr>
          <w:sz w:val="28"/>
          <w:szCs w:val="28"/>
        </w:rPr>
      </w:pPr>
      <w:r w:rsidRPr="002F72AF">
        <w:rPr>
          <w:sz w:val="28"/>
          <w:szCs w:val="28"/>
        </w:rPr>
        <w:t>The decision supported by this dashboard is a semi-structured decision. It is not completely structured because the manager cannot rely only on a fixed rule to decide what action should be taken. The dashboard provides quantitative information such as regional sales, category performance, rankings, and sales trends, but the manager still needs to interpret the information and decide whether to increase marketing, change inventory levels, provide sales incentives, or take another action.</w:t>
      </w:r>
    </w:p>
    <w:p w14:paraId="1AAC11FA" w14:textId="77777777" w:rsidR="002F72AF" w:rsidRDefault="002F72AF" w:rsidP="002F72AF">
      <w:pPr>
        <w:rPr>
          <w:sz w:val="28"/>
          <w:szCs w:val="28"/>
        </w:rPr>
      </w:pPr>
      <w:r w:rsidRPr="002F72AF">
        <w:rPr>
          <w:sz w:val="28"/>
          <w:szCs w:val="28"/>
        </w:rPr>
        <w:t>The interactive filters, parameters, drill-down hierarchy, and dashboard action filter allow the manager to investigate the data from different perspectives before making the decision. For example, the manager can select a particular region and category and then examine the corresponding sales trend. Therefore, the dashboard acts as a decision-support tool by combining multiple views of sales information and helping the manager make an informed business decision.</w:t>
      </w:r>
    </w:p>
    <w:p w14:paraId="6AEFCE3F" w14:textId="620ED41C" w:rsidR="00121006" w:rsidRDefault="00121006" w:rsidP="002F72AF">
      <w:pPr>
        <w:rPr>
          <w:sz w:val="28"/>
          <w:szCs w:val="28"/>
        </w:rPr>
      </w:pPr>
      <w:r>
        <w:rPr>
          <w:noProof/>
          <w:sz w:val="28"/>
          <w:szCs w:val="28"/>
        </w:rPr>
        <w:drawing>
          <wp:inline distT="0" distB="0" distL="0" distR="0" wp14:anchorId="6DEC2F41" wp14:editId="3EFC2331">
            <wp:extent cx="5731510" cy="2889885"/>
            <wp:effectExtent l="0" t="0" r="2540" b="5715"/>
            <wp:docPr id="152611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13810" name="Picture 15261138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89885"/>
                    </a:xfrm>
                    <a:prstGeom prst="rect">
                      <a:avLst/>
                    </a:prstGeom>
                  </pic:spPr>
                </pic:pic>
              </a:graphicData>
            </a:graphic>
          </wp:inline>
        </w:drawing>
      </w:r>
    </w:p>
    <w:p w14:paraId="6DDFE050" w14:textId="5575704F" w:rsidR="00121006" w:rsidRDefault="00121006" w:rsidP="002F72AF">
      <w:pPr>
        <w:rPr>
          <w:sz w:val="28"/>
          <w:szCs w:val="28"/>
        </w:rPr>
      </w:pPr>
      <w:r>
        <w:rPr>
          <w:noProof/>
          <w:sz w:val="28"/>
          <w:szCs w:val="28"/>
        </w:rPr>
        <w:lastRenderedPageBreak/>
        <w:drawing>
          <wp:inline distT="0" distB="0" distL="0" distR="0" wp14:anchorId="15626D0E" wp14:editId="6C84D56A">
            <wp:extent cx="5731510" cy="2726690"/>
            <wp:effectExtent l="0" t="0" r="2540" b="0"/>
            <wp:docPr id="1326734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34908" name="Picture 13267349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3313E43C" w14:textId="77777777" w:rsidR="00121006" w:rsidRDefault="00121006" w:rsidP="002F72AF">
      <w:pPr>
        <w:rPr>
          <w:sz w:val="28"/>
          <w:szCs w:val="28"/>
        </w:rPr>
      </w:pPr>
    </w:p>
    <w:p w14:paraId="12D141D8" w14:textId="77777777" w:rsidR="00121006" w:rsidRDefault="00121006" w:rsidP="002F72AF">
      <w:pPr>
        <w:rPr>
          <w:sz w:val="28"/>
          <w:szCs w:val="28"/>
        </w:rPr>
      </w:pPr>
    </w:p>
    <w:p w14:paraId="1B19EF85" w14:textId="0CF1D374" w:rsidR="00121006" w:rsidRDefault="00121006" w:rsidP="002F72AF">
      <w:pPr>
        <w:rPr>
          <w:sz w:val="28"/>
          <w:szCs w:val="28"/>
        </w:rPr>
      </w:pPr>
      <w:r>
        <w:rPr>
          <w:noProof/>
          <w:sz w:val="28"/>
          <w:szCs w:val="28"/>
        </w:rPr>
        <w:drawing>
          <wp:inline distT="0" distB="0" distL="0" distR="0" wp14:anchorId="3449CB74" wp14:editId="00D7A941">
            <wp:extent cx="5731510" cy="2727960"/>
            <wp:effectExtent l="0" t="0" r="2540" b="0"/>
            <wp:docPr id="2016994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94997" name="Picture 20169949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50AB6BD4" w14:textId="77777777" w:rsidR="00121006" w:rsidRDefault="00121006" w:rsidP="002F72AF">
      <w:pPr>
        <w:rPr>
          <w:sz w:val="28"/>
          <w:szCs w:val="28"/>
        </w:rPr>
      </w:pPr>
    </w:p>
    <w:p w14:paraId="54C31CD7" w14:textId="77777777" w:rsidR="00121006" w:rsidRDefault="00121006" w:rsidP="002F72AF">
      <w:pPr>
        <w:rPr>
          <w:sz w:val="28"/>
          <w:szCs w:val="28"/>
        </w:rPr>
      </w:pPr>
    </w:p>
    <w:p w14:paraId="29211102" w14:textId="77777777" w:rsidR="00121006" w:rsidRDefault="00121006" w:rsidP="002F72AF">
      <w:pPr>
        <w:rPr>
          <w:sz w:val="28"/>
          <w:szCs w:val="28"/>
        </w:rPr>
      </w:pPr>
    </w:p>
    <w:p w14:paraId="4464669E" w14:textId="77777777" w:rsidR="00121006" w:rsidRDefault="00121006" w:rsidP="002F72AF">
      <w:pPr>
        <w:rPr>
          <w:sz w:val="28"/>
          <w:szCs w:val="28"/>
        </w:rPr>
      </w:pPr>
    </w:p>
    <w:p w14:paraId="4F815717" w14:textId="77777777" w:rsidR="00121006" w:rsidRDefault="00121006" w:rsidP="002F72AF">
      <w:pPr>
        <w:rPr>
          <w:sz w:val="28"/>
          <w:szCs w:val="28"/>
        </w:rPr>
      </w:pPr>
    </w:p>
    <w:p w14:paraId="2F3B2D63" w14:textId="77777777" w:rsidR="00121006" w:rsidRDefault="00121006" w:rsidP="002F72AF">
      <w:pPr>
        <w:rPr>
          <w:sz w:val="28"/>
          <w:szCs w:val="28"/>
        </w:rPr>
      </w:pPr>
    </w:p>
    <w:p w14:paraId="67D564AA" w14:textId="77777777" w:rsidR="00121006" w:rsidRDefault="00121006" w:rsidP="002F72AF">
      <w:pPr>
        <w:rPr>
          <w:sz w:val="28"/>
          <w:szCs w:val="28"/>
        </w:rPr>
      </w:pPr>
    </w:p>
    <w:p w14:paraId="563FE490" w14:textId="77777777" w:rsidR="00121006" w:rsidRDefault="00121006" w:rsidP="002F72AF">
      <w:pPr>
        <w:rPr>
          <w:sz w:val="28"/>
          <w:szCs w:val="28"/>
        </w:rPr>
      </w:pPr>
    </w:p>
    <w:p w14:paraId="13E7DDFA" w14:textId="77777777" w:rsidR="00121006" w:rsidRDefault="00121006" w:rsidP="002F72AF">
      <w:pPr>
        <w:rPr>
          <w:sz w:val="28"/>
          <w:szCs w:val="28"/>
        </w:rPr>
      </w:pPr>
    </w:p>
    <w:p w14:paraId="22FC22AD" w14:textId="77777777" w:rsidR="00121006" w:rsidRDefault="00121006" w:rsidP="002F72AF">
      <w:pPr>
        <w:rPr>
          <w:sz w:val="28"/>
          <w:szCs w:val="28"/>
        </w:rPr>
      </w:pPr>
    </w:p>
    <w:p w14:paraId="24F6460B" w14:textId="6376170F" w:rsidR="00121006" w:rsidRDefault="00121006" w:rsidP="002F72AF">
      <w:pPr>
        <w:rPr>
          <w:sz w:val="28"/>
          <w:szCs w:val="28"/>
        </w:rPr>
      </w:pPr>
      <w:proofErr w:type="gramStart"/>
      <w:r>
        <w:rPr>
          <w:sz w:val="28"/>
          <w:szCs w:val="28"/>
        </w:rPr>
        <w:t>DASHBOARD :</w:t>
      </w:r>
      <w:proofErr w:type="gramEnd"/>
    </w:p>
    <w:p w14:paraId="21FF12E1" w14:textId="211AAB8D" w:rsidR="00121006" w:rsidRPr="002F72AF" w:rsidRDefault="00121006" w:rsidP="002F72AF">
      <w:pPr>
        <w:rPr>
          <w:sz w:val="28"/>
          <w:szCs w:val="28"/>
        </w:rPr>
      </w:pPr>
      <w:r w:rsidRPr="00121006">
        <w:rPr>
          <w:sz w:val="28"/>
          <w:szCs w:val="28"/>
        </w:rPr>
        <w:drawing>
          <wp:inline distT="0" distB="0" distL="0" distR="0" wp14:anchorId="1733FBA5" wp14:editId="106DB9E1">
            <wp:extent cx="5731510" cy="2832735"/>
            <wp:effectExtent l="0" t="0" r="2540" b="5715"/>
            <wp:docPr id="96629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98980" name=""/>
                    <pic:cNvPicPr/>
                  </pic:nvPicPr>
                  <pic:blipFill>
                    <a:blip r:embed="rId9"/>
                    <a:stretch>
                      <a:fillRect/>
                    </a:stretch>
                  </pic:blipFill>
                  <pic:spPr>
                    <a:xfrm>
                      <a:off x="0" y="0"/>
                      <a:ext cx="5731510" cy="2832735"/>
                    </a:xfrm>
                    <a:prstGeom prst="rect">
                      <a:avLst/>
                    </a:prstGeom>
                  </pic:spPr>
                </pic:pic>
              </a:graphicData>
            </a:graphic>
          </wp:inline>
        </w:drawing>
      </w:r>
    </w:p>
    <w:p w14:paraId="6F1A29EA" w14:textId="77777777" w:rsidR="000A1428" w:rsidRPr="002F72AF" w:rsidRDefault="000A1428">
      <w:pPr>
        <w:rPr>
          <w:sz w:val="28"/>
          <w:szCs w:val="28"/>
        </w:rPr>
      </w:pPr>
    </w:p>
    <w:sectPr w:rsidR="000A1428" w:rsidRPr="002F72AF">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40725" w14:textId="77777777" w:rsidR="00FC3C10" w:rsidRDefault="00FC3C10" w:rsidP="002F72AF">
      <w:pPr>
        <w:spacing w:after="0" w:line="240" w:lineRule="auto"/>
      </w:pPr>
      <w:r>
        <w:separator/>
      </w:r>
    </w:p>
  </w:endnote>
  <w:endnote w:type="continuationSeparator" w:id="0">
    <w:p w14:paraId="0C3A454B" w14:textId="77777777" w:rsidR="00FC3C10" w:rsidRDefault="00FC3C10" w:rsidP="002F7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11DB" w14:textId="026582AA" w:rsidR="002F72AF" w:rsidRDefault="002F72AF">
    <w:pPr>
      <w:pStyle w:val="Footer"/>
    </w:pPr>
    <w:r>
      <w:t xml:space="preserve">                                                                                                                                            RITHESH P 24BAD098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FF5A8" w14:textId="77777777" w:rsidR="00FC3C10" w:rsidRDefault="00FC3C10" w:rsidP="002F72AF">
      <w:pPr>
        <w:spacing w:after="0" w:line="240" w:lineRule="auto"/>
      </w:pPr>
      <w:r>
        <w:separator/>
      </w:r>
    </w:p>
  </w:footnote>
  <w:footnote w:type="continuationSeparator" w:id="0">
    <w:p w14:paraId="20C4C361" w14:textId="77777777" w:rsidR="00FC3C10" w:rsidRDefault="00FC3C10" w:rsidP="002F7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2640" w14:textId="7691D4EE" w:rsidR="002F72AF" w:rsidRPr="002F72AF" w:rsidRDefault="002F72AF">
    <w:pPr>
      <w:pStyle w:val="Header"/>
      <w:rPr>
        <w:sz w:val="72"/>
        <w:szCs w:val="72"/>
      </w:rPr>
    </w:pPr>
    <w:r w:rsidRPr="002F72AF">
      <w:rPr>
        <w:sz w:val="72"/>
        <w:szCs w:val="72"/>
      </w:rPr>
      <w:t xml:space="preserve">BUSINESS INTELLIGENCE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AF"/>
    <w:rsid w:val="00093BC2"/>
    <w:rsid w:val="000A1428"/>
    <w:rsid w:val="00121006"/>
    <w:rsid w:val="00287687"/>
    <w:rsid w:val="002F72AF"/>
    <w:rsid w:val="006C26DE"/>
    <w:rsid w:val="00803C42"/>
    <w:rsid w:val="0093659E"/>
    <w:rsid w:val="00E82EAF"/>
    <w:rsid w:val="00FC3C1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59EE"/>
  <w15:chartTrackingRefBased/>
  <w15:docId w15:val="{0F7081E4-9957-4811-B51B-6871D921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2AF"/>
    <w:rPr>
      <w:rFonts w:eastAsiaTheme="majorEastAsia" w:cstheme="majorBidi"/>
      <w:color w:val="272727" w:themeColor="text1" w:themeTint="D8"/>
    </w:rPr>
  </w:style>
  <w:style w:type="paragraph" w:styleId="Title">
    <w:name w:val="Title"/>
    <w:basedOn w:val="Normal"/>
    <w:next w:val="Normal"/>
    <w:link w:val="TitleChar"/>
    <w:uiPriority w:val="10"/>
    <w:qFormat/>
    <w:rsid w:val="002F7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2AF"/>
    <w:pPr>
      <w:spacing w:before="160"/>
      <w:jc w:val="center"/>
    </w:pPr>
    <w:rPr>
      <w:i/>
      <w:iCs/>
      <w:color w:val="404040" w:themeColor="text1" w:themeTint="BF"/>
    </w:rPr>
  </w:style>
  <w:style w:type="character" w:customStyle="1" w:styleId="QuoteChar">
    <w:name w:val="Quote Char"/>
    <w:basedOn w:val="DefaultParagraphFont"/>
    <w:link w:val="Quote"/>
    <w:uiPriority w:val="29"/>
    <w:rsid w:val="002F72AF"/>
    <w:rPr>
      <w:i/>
      <w:iCs/>
      <w:color w:val="404040" w:themeColor="text1" w:themeTint="BF"/>
    </w:rPr>
  </w:style>
  <w:style w:type="paragraph" w:styleId="ListParagraph">
    <w:name w:val="List Paragraph"/>
    <w:basedOn w:val="Normal"/>
    <w:uiPriority w:val="34"/>
    <w:qFormat/>
    <w:rsid w:val="002F72AF"/>
    <w:pPr>
      <w:ind w:left="720"/>
      <w:contextualSpacing/>
    </w:pPr>
  </w:style>
  <w:style w:type="character" w:styleId="IntenseEmphasis">
    <w:name w:val="Intense Emphasis"/>
    <w:basedOn w:val="DefaultParagraphFont"/>
    <w:uiPriority w:val="21"/>
    <w:qFormat/>
    <w:rsid w:val="002F72AF"/>
    <w:rPr>
      <w:i/>
      <w:iCs/>
      <w:color w:val="0F4761" w:themeColor="accent1" w:themeShade="BF"/>
    </w:rPr>
  </w:style>
  <w:style w:type="paragraph" w:styleId="IntenseQuote">
    <w:name w:val="Intense Quote"/>
    <w:basedOn w:val="Normal"/>
    <w:next w:val="Normal"/>
    <w:link w:val="IntenseQuoteChar"/>
    <w:uiPriority w:val="30"/>
    <w:qFormat/>
    <w:rsid w:val="002F7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2AF"/>
    <w:rPr>
      <w:i/>
      <w:iCs/>
      <w:color w:val="0F4761" w:themeColor="accent1" w:themeShade="BF"/>
    </w:rPr>
  </w:style>
  <w:style w:type="character" w:styleId="IntenseReference">
    <w:name w:val="Intense Reference"/>
    <w:basedOn w:val="DefaultParagraphFont"/>
    <w:uiPriority w:val="32"/>
    <w:qFormat/>
    <w:rsid w:val="002F72AF"/>
    <w:rPr>
      <w:b/>
      <w:bCs/>
      <w:smallCaps/>
      <w:color w:val="0F4761" w:themeColor="accent1" w:themeShade="BF"/>
      <w:spacing w:val="5"/>
    </w:rPr>
  </w:style>
  <w:style w:type="paragraph" w:styleId="Header">
    <w:name w:val="header"/>
    <w:basedOn w:val="Normal"/>
    <w:link w:val="HeaderChar"/>
    <w:uiPriority w:val="99"/>
    <w:unhideWhenUsed/>
    <w:rsid w:val="002F7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2AF"/>
  </w:style>
  <w:style w:type="paragraph" w:styleId="Footer">
    <w:name w:val="footer"/>
    <w:basedOn w:val="Normal"/>
    <w:link w:val="FooterChar"/>
    <w:uiPriority w:val="99"/>
    <w:unhideWhenUsed/>
    <w:rsid w:val="002F7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prithesh2006@outlook.com</dc:creator>
  <cp:keywords/>
  <dc:description/>
  <cp:lastModifiedBy>prithesh2006@outlook.com</cp:lastModifiedBy>
  <cp:revision>2</cp:revision>
  <dcterms:created xsi:type="dcterms:W3CDTF">2026-08-11T11:27:00Z</dcterms:created>
  <dcterms:modified xsi:type="dcterms:W3CDTF">2026-08-11T11:51:00Z</dcterms:modified>
</cp:coreProperties>
</file>