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CASE REPORT FORMS (CRF TEMPLATES)</w:t>
      </w:r>
    </w:p>
    <w:p>
      <w:pPr>
        <w:spacing w:after="300"/>
        <w:jc w:val="center"/>
      </w:pPr>
      <w:r>
        <w:rPr>
          <w:color w:val="555555"/>
          <w:sz w:val="18"/>
          <w:szCs w:val="18"/>
        </w:rPr>
        <w:t xml:space="preserve">Protocol RC101-OA-P2   |   Illustrative / Educational Document</w:t>
      </w:r>
    </w:p>
    <w:p>
      <w:pPr>
        <w:spacing w:after="40"/>
      </w:pPr>
      <w:r>
        <w:rPr>
          <w:b/>
          <w:bCs/>
          <w:color w:val="1F4E5F"/>
          <w:sz w:val="26"/>
          <w:szCs w:val="26"/>
        </w:rPr>
        <w:t xml:space="preserve">1. Demographics (DM)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CDASH Domain: DM   |   Study RC101-OA-P2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300"/>
      </w:tblGrid>
      <w:tr>
        <w:trPr>
          <w:tblHeader/>
        </w:trPr>
        <w:tc>
          <w:tcPr>
            <w:tcW w:type="dxa" w:w="34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Auto-generated, format AYU-0nn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SITE01 / SITE02 / SITE03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of Informed Consent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dd-mmm-yyyy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of Birth / Age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Years; protocol range 35-75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Sex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Prakriti (Constitutional Type)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Vata / Pitta / Kapha / Vata-Pitta / Pitta-Kapha / Tridosha — assessed by qualified Ayurvedic physician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Enrollment Date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dd-mmm-yyyy</w:t>
            </w:r>
          </w:p>
        </w:tc>
      </w:tr>
    </w:tbl>
    <w:p>
      <w:pPr>
        <w:spacing w:after="40"/>
      </w:pPr>
      <w:r>
        <w:rPr>
          <w:b/>
          <w:bCs/>
          <w:color w:val="1F4E5F"/>
          <w:sz w:val="26"/>
          <w:szCs w:val="26"/>
        </w:rPr>
        <w:t xml:space="preserve">2. Study Drug Exposure / Dosing (EX)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CDASH Domain: EX   |   Study RC101-OA-P2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300"/>
      </w:tblGrid>
      <w:tr>
        <w:trPr>
          <w:tblHeader/>
        </w:trPr>
        <w:tc>
          <w:tcPr>
            <w:tcW w:type="dxa" w:w="34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/ Week 2 / Week 4 / Week 8 / Week 12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Dose Form Dispensed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Tablet / Churna (Powder) / Kashayam (Decoction)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Planned Dose (mg)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protocol dosing schedule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Returned Units / Compliance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(%)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Calculated from dispensed vs. returned count</w:t>
            </w:r>
          </w:p>
        </w:tc>
      </w:tr>
    </w:tbl>
    <w:p>
      <w:pPr>
        <w:spacing w:after="40"/>
      </w:pPr>
      <w:r>
        <w:rPr>
          <w:b/>
          <w:bCs/>
          <w:color w:val="1F4E5F"/>
          <w:sz w:val="26"/>
          <w:szCs w:val="26"/>
        </w:rPr>
        <w:t xml:space="preserve">3. Vital Signs (VS)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CDASH Domain: VS   |   Study RC101-OA-P2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300"/>
      </w:tblGrid>
      <w:tr>
        <w:trPr>
          <w:tblHeader/>
        </w:trPr>
        <w:tc>
          <w:tcPr>
            <w:tcW w:type="dxa" w:w="34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 / Visit Date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 / Date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visit schedule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Systolic BP (mmHg)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Plausible range 70-200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Diastolic BP (mmHg)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Plausible range 40-120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Rate (bpm)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Plausible range 40-140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Temperature (°C)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in Celsius only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 (kg)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Measured in light clothing, no shoes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F4E5F"/>
          <w:sz w:val="26"/>
          <w:szCs w:val="26"/>
        </w:rPr>
        <w:t xml:space="preserve">4. Laboratory Values (LB)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CDASH Domain: LB   |   Study RC101-OA-P2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300"/>
      </w:tblGrid>
      <w:tr>
        <w:trPr>
          <w:tblHeader/>
        </w:trPr>
        <w:tc>
          <w:tcPr>
            <w:tcW w:type="dxa" w:w="34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Screening / Baseline / Week 4 / Week 8 / Week 12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 (U/L)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 if &gt;120 U/L (&gt;3x ULN) for hepatic safety review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 (U/L)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reference range applies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Creatinine (mg/dL)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be a positive value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hs-CRP (mg/L)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Inflammation marker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Phytochemical Marker Compound (ng/mL)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Non-standard analyte specific to RC-101; custom LBTESTCD at SDTM mapping</w:t>
            </w:r>
          </w:p>
        </w:tc>
      </w:tr>
    </w:tbl>
    <w:p>
      <w:pPr>
        <w:spacing w:after="40"/>
      </w:pPr>
      <w:r>
        <w:rPr>
          <w:b/>
          <w:bCs/>
          <w:color w:val="1F4E5F"/>
          <w:sz w:val="26"/>
          <w:szCs w:val="26"/>
        </w:rPr>
        <w:t xml:space="preserve">5. Adverse Events (AE)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CDASH Domain: AE   |   Study RC101-OA-P2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300"/>
      </w:tblGrid>
      <w:tr>
        <w:trPr>
          <w:tblHeader/>
        </w:trPr>
        <w:tc>
          <w:tcPr>
            <w:tcW w:type="dxa" w:w="34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 Term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Verbatim term, coded at data management stage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Onset Date / Study Day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/ Number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Relative to enrollment date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Mild / Moderate / Severe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Serious (Y/N)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ICH E2A seriousness criteria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Relationship to Study Drug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 / Possibly Related / Not Related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Resolved / Resolving / Ongoing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Reported to Sponsor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SAEs: must be within 24 hours of investigator awareness</w:t>
            </w:r>
          </w:p>
        </w:tc>
      </w:tr>
    </w:tbl>
    <w:p>
      <w:pPr>
        <w:spacing w:after="40"/>
      </w:pPr>
      <w:r>
        <w:rPr>
          <w:b/>
          <w:bCs/>
          <w:color w:val="1F4E5F"/>
          <w:sz w:val="26"/>
          <w:szCs w:val="26"/>
        </w:rPr>
        <w:t xml:space="preserve">6. Concomitant Medications (CM)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CDASH Domain: CM   |   Study RC101-OA-P2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300"/>
      </w:tblGrid>
      <w:tr>
        <w:trPr>
          <w:tblHeader/>
        </w:trPr>
        <w:tc>
          <w:tcPr>
            <w:tcW w:type="dxa" w:w="34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Medication 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Generic name preferred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Relative to enrollment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 (Y/N)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N, end date required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2026-07-12T08:21:45.119Z</dcterms:created>
  <dcterms:modified xsi:type="dcterms:W3CDTF">2026-07-12T08:21:45.119Z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