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spacing w:after="0"/>
        <w:rPr>
          <w:rFonts w:ascii="Arial" w:cs="Arial" w:eastAsia="Arial" w:hAnsi="Arial"/>
          <w:b w:val="1"/>
        </w:rPr>
      </w:pPr>
      <w:r/>
      <w:r>
        <w:rPr>
          <w:b/>
          <w:sz w:val="20"/>
        </w:rPr>
        <w:t>Architecture: ServiceNow Standard Laptop Procurement Automation</w:t>
      </w:r>
    </w:p>
    <w:p w:rsidR="00000000" w:rsidDel="00000000" w:rsidP="00000000" w:rsidRDefault="00000000" w:rsidRPr="00000000" w14:paraId="00000010">
      <w:pPr>
        <w:spacing w:after="0"/>
        <w:rPr>
          <w:rFonts w:ascii="Arial" w:cs="Arial" w:eastAsia="Arial" w:hAnsi="Arial"/>
          <w:b w:val="1"/>
        </w:rPr>
      </w:pPr>
      <w:r/>
      <w:r>
        <w:rPr>
          <w:b/>
          <w:sz w:val="20"/>
        </w:rPr>
        <w:t>Project Platform: ServiceNow Flow Designer and Service Catalog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User interacts with the procurement request through ServiceNow Service Catalog.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Service Catalog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Captures the approved service request and starts the automated task process.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Flow Designer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Creates a Catalog Task for the requested Standard Laptop.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Flow Designer – Create Catalog Task action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Updates task details and assigns the task to the Hardware group.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Flow Designer field values / Assignment group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Stores request, Requested Item and Catalog Task records used by the workflow.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platform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Platform data used by the ServiceNow application.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platform data store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 separate file-storage component is required by the project workflow.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 external API is used in the implemented Standard Laptop workflow.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 external API is used in the implemented Standard Laptop workflow.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Machine learning is not part of this project implementation.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The application and workflow run on the ServiceNow platform.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platform / cloud service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 open-source framework is required for the implemented workflow.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Not applicable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Approval and ServiceNow access controls are used; exact role/ACL configuration is not specified in the project.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access / approval controls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Flow Designer provides a reusable automation pattern that can be assigned to the Standard Laptop catalog item.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Flow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The procurement workflow is hosted within the ServiceNow platform and accessed through the Service Catalog.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Automation removes manual task creation and assignment after approval, reducing processing delay.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b w:val="0"/>
                <w:sz w:val="20"/>
              </w:rPr>
              <w:t>Flow Designer automation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spacing w:after="0"/>
        <w:rPr>
          <w:rFonts w:ascii="Arial" w:cs="Arial" w:eastAsia="Arial" w:hAnsi="Arial"/>
          <w:b w:val="1"/>
        </w:rPr>
      </w:pPr>
      <w:r/>
      <w:r>
        <w:rPr>
          <w:b w:val="0"/>
          <w:sz w:val="20"/>
        </w:rPr>
        <w:t>ServiceNow Service Catalog – project implementation reference</w:t>
      </w:r>
    </w:p>
    <w:p w:rsidR="00000000" w:rsidDel="00000000" w:rsidP="00000000" w:rsidRDefault="00000000" w:rsidRPr="00000000" w14:paraId="0000006E">
      <w:pPr>
        <w:spacing w:after="0"/>
        <w:rPr>
          <w:rFonts w:ascii="Arial" w:cs="Arial" w:eastAsia="Arial" w:hAnsi="Arial"/>
          <w:b w:val="1"/>
        </w:rPr>
      </w:pPr>
      <w:r/>
      <w:r>
        <w:rPr>
          <w:b w:val="0"/>
          <w:sz w:val="20"/>
        </w:rPr>
        <w:t>ServiceNow Flow Designer – project implementation reference</w:t>
      </w:r>
    </w:p>
    <w:p w:rsidR="00000000" w:rsidDel="00000000" w:rsidP="00000000" w:rsidRDefault="00000000" w:rsidRPr="00000000" w14:paraId="0000006F">
      <w:pPr>
        <w:spacing w:after="0"/>
        <w:rPr>
          <w:rFonts w:ascii="Arial" w:cs="Arial" w:eastAsia="Arial" w:hAnsi="Arial"/>
          <w:b w:val="1"/>
        </w:rPr>
      </w:pPr>
      <w:r/>
      <w:r>
        <w:rPr>
          <w:b w:val="0"/>
          <w:sz w:val="20"/>
        </w:rPr>
        <w:t>Create Catalog Task action – project implementation reference</w:t>
      </w:r>
    </w:p>
    <w:p w:rsidR="00000000" w:rsidDel="00000000" w:rsidP="00000000" w:rsidRDefault="00000000" w:rsidRPr="00000000" w14:paraId="00000070">
      <w:pPr>
        <w:spacing w:after="0"/>
        <w:rPr>
          <w:rFonts w:ascii="Arial" w:cs="Arial" w:eastAsia="Arial" w:hAnsi="Arial"/>
          <w:b w:val="1"/>
        </w:rPr>
      </w:pPr>
      <w:r/>
      <w:r>
        <w:rPr>
          <w:b w:val="0"/>
          <w:sz w:val="20"/>
        </w:rPr>
        <w:t>Standard Laptop catalog item – project implementation reference</w:t>
      </w:r>
    </w:p>
    <w:p w:rsidR="00000000" w:rsidDel="00000000" w:rsidP="00000000" w:rsidRDefault="00000000" w:rsidRPr="00000000" w14:paraId="00000071">
      <w:pPr>
        <w:spacing w:after="0"/>
        <w:rPr>
          <w:rFonts w:ascii="Arial" w:cs="Arial" w:eastAsia="Arial" w:hAnsi="Arial"/>
          <w:b w:val="1"/>
        </w:rPr>
      </w:pPr>
      <w:r/>
      <w:r>
        <w:rPr>
          <w:b w:val="0"/>
          <w:sz w:val="20"/>
        </w:rPr>
        <w:t>Hardware assignment group – project implementation reference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