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t>15 February 2025</w:t>
            </w:r>
          </w:p>
        </w:tc>
      </w:tr>
      <w:tr w:rsidR="004360B1" w14:paraId="7890E6B7" w14:textId="77777777">
        <w:tc>
          <w:tcPr>
            <w:tcW w:w="4508" w:type="dxa"/>
          </w:tcPr>
          <w:p w14:paraId="0C019381" w14:textId="77777777" w:rsidR="004360B1" w:rsidRDefault="00000000">
            <w:r>
              <w:t>Team ID</w:t>
            </w:r>
          </w:p>
        </w:tc>
        <w:tc>
          <w:tcPr>
            <w:tcW w:w="4508" w:type="dxa"/>
          </w:tcPr>
          <w:p w14:paraId="3384612E" w14:textId="64E2C7D4" w:rsidR="004360B1" w:rsidRDefault="004360B1">
            <w:r>
              <w:t>SWTID-2026-9795</w:t>
            </w:r>
          </w:p>
        </w:tc>
      </w:tr>
      <w:tr w:rsidR="004360B1" w14:paraId="51E034FC" w14:textId="77777777">
        <w:tc>
          <w:tcPr>
            <w:tcW w:w="4508" w:type="dxa"/>
          </w:tcPr>
          <w:p w14:paraId="69F005D8" w14:textId="77777777" w:rsidR="004360B1" w:rsidRDefault="00000000">
            <w:r>
              <w:t>Project Name</w:t>
            </w:r>
          </w:p>
        </w:tc>
        <w:tc>
          <w:tcPr>
            <w:tcW w:w="4508" w:type="dxa"/>
            <w:vAlign w:val="top"/>
          </w:tcPr>
          <w:p>
            <w:pPr>
              <w:spacing w:after="0" w:line="240" w:lineRule="auto"/>
              <w:jc w:val="left"/>
            </w:pPr>
            <w:r/>
            <w:r>
              <w:rPr>
                <w:rFonts w:ascii="Arial" w:hAnsi="Arial"/>
                <w:sz w:val="18"/>
              </w:rPr>
              <w:t>Streamlining IT Procurement: Automating Standard Laptop Orders with Flow Designer</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