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A51502E" w:rsidR="00E370AF" w:rsidRDefault="00267921">
            <w:r w:rsidRPr="00267921">
              <w:t>15 February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>
            <w:r>
              <w:t>SWTID-2026-9795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8"/>
              </w:rPr>
              <w:t>Streamlining IT Procurement: Automating Standard Laptop Orders with Flow Designer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Arial" w:hAnsi="Arial"/>
          <w:i/>
          <w:sz w:val="18"/>
        </w:rPr>
        <w:t>Figure 1: Solution architecture and data flow of the automated standard laptop procurement workflow</w:t>
      </w:r>
    </w:p>
    <w:p w14:paraId="4E909796" w14:textId="77777777" w:rsidR="00E370AF" w:rsidRDefault="00000000">
      <w:pPr>
        <w:rPr>
          <w:b/>
        </w:rPr>
      </w:pPr>
      <w:r>
        <w:rPr>
          <w:rFonts w:ascii="Arial" w:hAnsi="Arial"/>
          <w:sz w:val="18"/>
        </w:rPr>
        <w:t>Reference: Project implementation details from the provided Naan Mudhalvan project document.</w:t>
      </w: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