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Not specified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SWTID-2026-9795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2850"/>
        <w:tblGridChange w:id="0">
          <w:tblGrid>
            <w:gridCol w:w="735"/>
            <w:gridCol w:w="2400"/>
            <w:gridCol w:w="3360"/>
            <w:gridCol w:w="285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ServiceNow Flow Designer workflow for Standard Laptop procurement, approval, and Catalog Task creation.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>-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Workflow outcome: Approved request creates a Catalog Task and assigns it to Hardware.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Training Workflow outcome: Approved request creates a Catalog Task and assigns it to Hardware. - </w:t>
              <w:br/>
              <w:br/>
              <w:t>Validation Workflow outcome: Approved request creates a Catalog Task and assigns it to Hardware. -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3.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40" w:lineRule="auto"/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>Not applicable to this ServiceNow workflow.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Validation Workflow outcome: Approved request creates a Catalog Task and assigns it to Hardware. -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FVwD200NlTJFrPJ2vAq0j4/XPg==">CgMxLjA4AHIhMWdqbm8yTWkzb3B6VGlBSGdNOVY0cGpVT1dmN3o4OVJo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