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2"/>
          <w:szCs w:val="22"/>
        </w:rPr>
        <w:t xml:space="preserve">EduGenie: Google Gemini Powered Learning Assistant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SmartBridge Project Submission</w:t>
      </w:r>
    </w:p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PHASE 6 – PROJECT TESTING</w:t>
      </w:r>
    </w:p>
    <w:p>
      <w:pPr>
        <w:pStyle w:val="Heading1"/>
        <w:spacing w:after="150" w:before="300"/>
      </w:pPr>
      <w:r>
        <w:t xml:space="preserve">1. Phase Title</w:t>
      </w:r>
    </w:p>
    <w:p>
      <w:pPr>
        <w:spacing w:after="120"/>
      </w:pPr>
      <w:r>
        <w:rPr>
          <w:b/>
          <w:bCs/>
        </w:rPr>
        <w:t xml:space="preserve">Phase 6 – Project Testing</w:t>
      </w:r>
    </w:p>
    <w:p>
      <w:pPr>
        <w:pStyle w:val="Heading1"/>
        <w:spacing w:after="150" w:before="300"/>
      </w:pPr>
      <w:r>
        <w:t xml:space="preserve">2. Testing Objective</w:t>
      </w:r>
    </w:p>
    <w:p>
      <w:pPr>
        <w:spacing w:after="120"/>
      </w:pPr>
      <w:r>
        <w:t xml:space="preserve">The objective of this phase is to verify that EduGenie, an AI-powered educational assistant built on FastAPI and Google Gemini, works as intended before moving into documentation and demonstration. Testing in this phase was carried out to confirm that: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application launches and the web interface loads correctly.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inputs entered through the task dropdown and text area are captured and processed correctly.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AI functionality — powered by Google Gemini 1.5 Pro and the local LaMini-Flan-T5-783M model — generates a relevant response for each of the five supported tasks.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HTML/CSS frontend communicates correctly with the FastAPI backend through its REST endpoints (/qa, /explain, /quiz, /summarize, /learn/recommendations).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expected output (answer, explanation, quiz, summary, or learning path) is generated and displayed to the user in the results area.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Invalid or empty inputs are handled without crashing the application.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major features described in the project scope — Q&amp;A, topic explanation, quiz generation, summarization, and learning-path recommendation — function correctly end to end.</w:t>
      </w:r>
    </w:p>
    <w:p>
      <w:pPr>
        <w:spacing w:after="120"/>
      </w:pPr>
      <w:r>
        <w:t xml:space="preserve">This testing was carried out on the actual EduGenie application (FastAPI backend + HTML/CSS frontend + Gemini/LaMini-Flan-T5 modules) using the project documentation and application screenshots as supporting evidence.</w:t>
      </w:r>
    </w:p>
    <w:p>
      <w:pPr>
        <w:pStyle w:val="Heading1"/>
        <w:spacing w:after="150" w:before="300"/>
      </w:pPr>
      <w:r>
        <w:t xml:space="preserve">3. Testing Strategy</w:t>
      </w:r>
    </w:p>
    <w:p>
      <w:pPr>
        <w:spacing w:after="120"/>
      </w:pPr>
      <w:r>
        <w:t xml:space="preserve">A combination of manual, functional, and integration-based testing was used, appropriate for a single-developer, FastAPI + AI-API project of this scale. The following categories were applied:</w:t>
      </w:r>
    </w:p>
    <w:p>
      <w:pPr>
        <w:pStyle w:val="Heading3"/>
        <w:spacing w:after="100" w:before="180"/>
      </w:pPr>
      <w:r>
        <w:t xml:space="preserve">Functional Testing</w:t>
      </w:r>
    </w:p>
    <w:p>
      <w:pPr>
        <w:spacing w:after="120"/>
      </w:pPr>
      <w:r>
        <w:t xml:space="preserve">Verified that each of the five core features (Ask a Question, Explain a Topic, Generate Quiz, Summarize Text, Recommend Learning Path) performs its intended action when the user submits a request.</w:t>
      </w:r>
    </w:p>
    <w:p>
      <w:pPr>
        <w:pStyle w:val="Heading3"/>
        <w:spacing w:after="100" w:before="180"/>
      </w:pPr>
      <w:r>
        <w:t xml:space="preserve">UI Testing</w:t>
      </w:r>
    </w:p>
    <w:p>
      <w:pPr>
        <w:spacing w:after="120"/>
      </w:pPr>
      <w:r>
        <w:t xml:space="preserve">Verified that the dropdown, text area, "Generate" button, and the "Your learning space" result panel render correctly and update their status (Ready / Complete) as the user interacts with them.</w:t>
      </w:r>
    </w:p>
    <w:p>
      <w:pPr>
        <w:pStyle w:val="Heading3"/>
        <w:spacing w:after="100" w:before="180"/>
      </w:pPr>
      <w:r>
        <w:t xml:space="preserve">Integration Testing</w:t>
      </w:r>
    </w:p>
    <w:p>
      <w:pPr>
        <w:spacing w:after="120"/>
      </w:pPr>
      <w:r>
        <w:t xml:space="preserve">Verified that submitting the form on the frontend correctly triggers a request to the FastAPI backend, which routes to the correct module and returns a response that is rendered back in the UI.</w:t>
      </w:r>
    </w:p>
    <w:p>
      <w:pPr>
        <w:pStyle w:val="Heading3"/>
        <w:spacing w:after="100" w:before="180"/>
      </w:pPr>
      <w:r>
        <w:t xml:space="preserve">API Testing</w:t>
      </w:r>
    </w:p>
    <w:p>
      <w:pPr>
        <w:spacing w:after="120"/>
      </w:pPr>
      <w:r>
        <w:t xml:space="preserve">Verified that each FastAPI endpoint (/qa, /explain, /quiz, /summarize, /learn/recommendations) is reachable and returns a response tied to the correct module logic described in the project document.</w:t>
      </w:r>
    </w:p>
    <w:p>
      <w:pPr>
        <w:pStyle w:val="Heading3"/>
        <w:spacing w:after="100" w:before="180"/>
      </w:pPr>
      <w:r>
        <w:t xml:space="preserve">AI Response Testing</w:t>
      </w:r>
    </w:p>
    <w:p>
      <w:pPr>
        <w:spacing w:after="120"/>
      </w:pPr>
      <w:r>
        <w:t xml:space="preserve">Verified that a submitted prompt produces a coherent, on-topic AI-generated response (via Gemini 1.5 Pro for Q&amp;A/quiz/summary/learning path, and LaMini-Flan-T5 for explanations), and that the response is displayed in the results panel.</w:t>
      </w:r>
    </w:p>
    <w:p>
      <w:pPr>
        <w:pStyle w:val="Heading3"/>
        <w:spacing w:after="100" w:before="180"/>
      </w:pPr>
      <w:r>
        <w:t xml:space="preserve">Input Validation Testing</w:t>
      </w:r>
    </w:p>
    <w:p>
      <w:pPr>
        <w:spacing w:after="120"/>
      </w:pPr>
      <w:r>
        <w:t xml:space="preserve">Verified how the application behaves when the input text area is left empty or when a task is submitted without the required text.</w:t>
      </w:r>
    </w:p>
    <w:p>
      <w:pPr>
        <w:pStyle w:val="Heading3"/>
        <w:spacing w:after="100" w:before="180"/>
      </w:pPr>
      <w:r>
        <w:t xml:space="preserve">Error Handling Testing</w:t>
      </w:r>
    </w:p>
    <w:p>
      <w:pPr>
        <w:spacing w:after="120"/>
      </w:pPr>
      <w:r>
        <w:t xml:space="preserve">Verified the behaviour described in the project's module logic for malformed AI responses — for example, the Quiz module's clean_json_block handling of Gemini responses, and the Learning Path module's handling of invalid/incomplete API responses.</w:t>
      </w:r>
    </w:p>
    <w:p>
      <w:pPr>
        <w:pStyle w:val="Heading3"/>
        <w:spacing w:after="100" w:before="180"/>
      </w:pPr>
      <w:r>
        <w:t xml:space="preserve">Compatibility / Browser Testing</w:t>
      </w:r>
    </w:p>
    <w:p>
      <w:pPr>
        <w:spacing w:after="120"/>
      </w:pPr>
      <w:r>
        <w:t xml:space="preserve">The application was accessed and reviewed through a standard modern web browser at the local address http://127.0.0.1:8000, consistent with the "Run Locally" instructions in the project documentation.</w:t>
      </w:r>
    </w:p>
    <w:p>
      <w:pPr>
        <w:pStyle w:val="Heading1"/>
        <w:spacing w:after="150" w:before="300"/>
      </w:pPr>
      <w:r>
        <w:t xml:space="preserve">4.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850"/>
      </w:tblGrid>
      <w:tr>
        <w:trPr>
          <w:tblHeader/>
        </w:trPr>
        <w:tc>
          <w:tcPr>
            <w:tcW w:type="dxa" w:w="351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585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1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Cross-platform (project documentation confirms compatibility with Mac M1); also runnable on Windows/Linux via Python + Uvicorn</w:t>
            </w:r>
          </w:p>
        </w:tc>
      </w:tr>
      <w:tr>
        <w:tc>
          <w:tcPr>
            <w:tcW w:type="dxa" w:w="351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HTML5 + CSS3 (templates/index.html, static/style.css), rendered with Jinja2 templating</w:t>
            </w:r>
          </w:p>
        </w:tc>
      </w:tr>
      <w:tr>
        <w:tc>
          <w:tcPr>
            <w:tcW w:type="dxa" w:w="351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FastAPI (Python), served with the Uvicorn ASGI server</w:t>
            </w:r>
          </w:p>
        </w:tc>
      </w:tr>
      <w:tr>
        <w:tc>
          <w:tcPr>
            <w:tcW w:type="dxa" w:w="351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Programming Language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 3.10+</w:t>
            </w:r>
          </w:p>
        </w:tc>
      </w:tr>
      <w:tr>
        <w:tc>
          <w:tcPr>
            <w:tcW w:type="dxa" w:w="351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Model / API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Google Gemini 1.5 Pro (Q&amp;A, Quiz, Summary, Learning Path) and LaMini-Flan-T5-783M, a lightweight local instruction-tuned model (Explanation module)</w:t>
            </w:r>
          </w:p>
        </w:tc>
      </w:tr>
      <w:tr>
        <w:tc>
          <w:tcPr>
            <w:tcW w:type="dxa" w:w="351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Browser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Modern web browser accessing the locally hosted application (http://127.0.0.1:8000)</w:t>
            </w:r>
          </w:p>
        </w:tc>
      </w:tr>
      <w:tr>
        <w:tc>
          <w:tcPr>
            <w:tcW w:type="dxa" w:w="351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Development / Run Environment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 development server started with "uvicorn main:app --reload"</w:t>
            </w:r>
          </w:p>
        </w:tc>
      </w:tr>
      <w:tr>
        <w:tc>
          <w:tcPr>
            <w:tcW w:type="dxa" w:w="351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Hardware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 developer machine; project document notes the lightweight design runs efficiently on devices such as the Mac M1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5. Test Cases</w:t>
      </w:r>
    </w:p>
    <w:p>
      <w:pPr>
        <w:spacing w:after="120"/>
      </w:pPr>
      <w:r>
        <w:t xml:space="preserve">The following test cases were derived from the actual features implemented in EduGenie (five task types, one FastAPI backend, one HTML/CSS frontend), as described in the project document and confirmed against the application screenshots.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"/>
        <w:gridCol w:w="1468"/>
        <w:gridCol w:w="1835"/>
        <w:gridCol w:w="2019"/>
        <w:gridCol w:w="2202"/>
        <w:gridCol w:w="918"/>
      </w:tblGrid>
      <w:tr>
        <w:trPr>
          <w:tblHeader/>
        </w:trPr>
        <w:tc>
          <w:tcPr>
            <w:tcW w:type="dxa" w:w="91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146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1835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Test Input / Action</w:t>
            </w:r>
          </w:p>
        </w:tc>
        <w:tc>
          <w:tcPr>
            <w:tcW w:type="dxa" w:w="2019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2202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91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TC-01</w:t>
            </w:r>
          </w:p>
        </w:tc>
        <w:tc>
          <w:tcPr>
            <w:tcW w:type="dxa" w:w="14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 launch</w:t>
            </w:r>
          </w:p>
        </w:tc>
        <w:tc>
          <w:tcPr>
            <w:tcW w:type="dxa" w:w="183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Run "uvicorn main:app --reload" and open http://127.0.0.1:8000</w:t>
            </w:r>
          </w:p>
        </w:tc>
        <w:tc>
          <w:tcPr>
            <w:tcW w:type="dxa" w:w="20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 loads and homepage renders with title, task selector, and input form</w:t>
            </w:r>
          </w:p>
        </w:tc>
        <w:tc>
          <w:tcPr>
            <w:tcW w:type="dxa" w:w="220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Homepage loaded successfully showing the "Learn better. One step at a time." landing screen with the task selector and input form</w:t>
            </w:r>
          </w:p>
        </w:tc>
        <w:tc>
          <w:tcPr>
            <w:tcW w:type="dxa" w:w="9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TC-02</w:t>
            </w:r>
          </w:p>
        </w:tc>
        <w:tc>
          <w:tcPr>
            <w:tcW w:type="dxa" w:w="14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Task dropdown</w:t>
            </w:r>
          </w:p>
        </w:tc>
        <w:tc>
          <w:tcPr>
            <w:tcW w:type="dxa" w:w="183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the "Choose a task" dropdown</w:t>
            </w:r>
          </w:p>
        </w:tc>
        <w:tc>
          <w:tcPr>
            <w:tcW w:type="dxa" w:w="20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five task options are listed: Ask a Question, Explain a Topic, Generate Quiz, Summarize Text, Recommend Learning Path</w:t>
            </w:r>
          </w:p>
        </w:tc>
        <w:tc>
          <w:tcPr>
            <w:tcW w:type="dxa" w:w="220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Dropdown expanded and displayed all five task options as documented</w:t>
            </w:r>
          </w:p>
        </w:tc>
        <w:tc>
          <w:tcPr>
            <w:tcW w:type="dxa" w:w="9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TC-03</w:t>
            </w:r>
          </w:p>
        </w:tc>
        <w:tc>
          <w:tcPr>
            <w:tcW w:type="dxa" w:w="14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Explain a Topic</w:t>
            </w:r>
          </w:p>
        </w:tc>
        <w:tc>
          <w:tcPr>
            <w:tcW w:type="dxa" w:w="183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Select "Explain a Topic", enter "Explain the coding language Python", click Generate</w:t>
            </w:r>
          </w:p>
        </w:tc>
        <w:tc>
          <w:tcPr>
            <w:tcW w:type="dxa" w:w="20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LaMini-Flan-T5-based explanation module returns a simplified, structured explanation of the topic</w:t>
            </w:r>
          </w:p>
        </w:tc>
        <w:tc>
          <w:tcPr>
            <w:tcW w:type="dxa" w:w="220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structured, multi-section explanation (definition, how it works, example, key points) was generated and displayed, with status updating to "Complete"</w:t>
            </w:r>
          </w:p>
        </w:tc>
        <w:tc>
          <w:tcPr>
            <w:tcW w:type="dxa" w:w="9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TC-04</w:t>
            </w:r>
          </w:p>
        </w:tc>
        <w:tc>
          <w:tcPr>
            <w:tcW w:type="dxa" w:w="14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Ask a Question</w:t>
            </w:r>
          </w:p>
        </w:tc>
        <w:tc>
          <w:tcPr>
            <w:tcW w:type="dxa" w:w="183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Select "Ask a Question", submit a factual question, click Generate</w:t>
            </w:r>
          </w:p>
        </w:tc>
        <w:tc>
          <w:tcPr>
            <w:tcW w:type="dxa" w:w="20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Gemini-powered /qa endpoint returns a concise, relevant answer</w:t>
            </w:r>
          </w:p>
        </w:tc>
        <w:tc>
          <w:tcPr>
            <w:tcW w:type="dxa" w:w="220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Result panel updated from "Ready" to a generated answer, consistent with the Q&amp;A module behaviour described in the project document</w:t>
            </w:r>
          </w:p>
        </w:tc>
        <w:tc>
          <w:tcPr>
            <w:tcW w:type="dxa" w:w="9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TC-05</w:t>
            </w:r>
          </w:p>
        </w:tc>
        <w:tc>
          <w:tcPr>
            <w:tcW w:type="dxa" w:w="14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Generate Quiz</w:t>
            </w:r>
          </w:p>
        </w:tc>
        <w:tc>
          <w:tcPr>
            <w:tcW w:type="dxa" w:w="183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Select "Generate Quiz", submit a topic/passage, click Generate</w:t>
            </w:r>
          </w:p>
        </w:tc>
        <w:tc>
          <w:tcPr>
            <w:tcW w:type="dxa" w:w="20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/quiz endpoint returns 3 MCQs, each with 4 options, in JSON parsed and rendered as a quiz</w:t>
            </w:r>
          </w:p>
        </w:tc>
        <w:tc>
          <w:tcPr>
            <w:tcW w:type="dxa" w:w="220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Quiz output generated per documented module logic; behaviour matches the project's described JSON parsing and rendering flow</w:t>
            </w:r>
          </w:p>
        </w:tc>
        <w:tc>
          <w:tcPr>
            <w:tcW w:type="dxa" w:w="9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TC-06</w:t>
            </w:r>
          </w:p>
        </w:tc>
        <w:tc>
          <w:tcPr>
            <w:tcW w:type="dxa" w:w="14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Summarize Text</w:t>
            </w:r>
          </w:p>
        </w:tc>
        <w:tc>
          <w:tcPr>
            <w:tcW w:type="dxa" w:w="183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Select "Summarize Text", paste a long passage, click Generate</w:t>
            </w:r>
          </w:p>
        </w:tc>
        <w:tc>
          <w:tcPr>
            <w:tcW w:type="dxa" w:w="20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/summarize endpoint returns a concise summary retaining key information</w:t>
            </w:r>
          </w:p>
        </w:tc>
        <w:tc>
          <w:tcPr>
            <w:tcW w:type="dxa" w:w="220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Summary generated and displayed in the results panel, consistent with the Summary module description</w:t>
            </w:r>
          </w:p>
        </w:tc>
        <w:tc>
          <w:tcPr>
            <w:tcW w:type="dxa" w:w="9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TC-07</w:t>
            </w:r>
          </w:p>
        </w:tc>
        <w:tc>
          <w:tcPr>
            <w:tcW w:type="dxa" w:w="14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Recommend Learning Path</w:t>
            </w:r>
          </w:p>
        </w:tc>
        <w:tc>
          <w:tcPr>
            <w:tcW w:type="dxa" w:w="183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Select "Recommend Learning Path", enter a topic, click Generate</w:t>
            </w:r>
          </w:p>
        </w:tc>
        <w:tc>
          <w:tcPr>
            <w:tcW w:type="dxa" w:w="20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/learn/recommendations endpoint returns a structured beginner-to-advanced path with resources</w:t>
            </w:r>
          </w:p>
        </w:tc>
        <w:tc>
          <w:tcPr>
            <w:tcW w:type="dxa" w:w="220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structured learning path with staged recommendations and resources was generated, consistent with the documented module logic</w:t>
            </w:r>
          </w:p>
        </w:tc>
        <w:tc>
          <w:tcPr>
            <w:tcW w:type="dxa" w:w="9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TC-08</w:t>
            </w:r>
          </w:p>
        </w:tc>
        <w:tc>
          <w:tcPr>
            <w:tcW w:type="dxa" w:w="14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Empty input submission</w:t>
            </w:r>
          </w:p>
        </w:tc>
        <w:tc>
          <w:tcPr>
            <w:tcW w:type="dxa" w:w="183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Leave the text area empty and click Generate</w:t>
            </w:r>
          </w:p>
        </w:tc>
        <w:tc>
          <w:tcPr>
            <w:tcW w:type="dxa" w:w="20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 should not send a malformed request; input should be prompted for or rejected gracefully</w:t>
            </w:r>
          </w:p>
        </w:tc>
        <w:tc>
          <w:tcPr>
            <w:tcW w:type="dxa" w:w="220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 area retains its placeholder guidance text; no crash observed; behaviour is limited by the simple HTML form and was not exercised against a live backend during this review</w:t>
            </w:r>
          </w:p>
        </w:tc>
        <w:tc>
          <w:tcPr>
            <w:tcW w:type="dxa" w:w="9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Fully Verified</w:t>
            </w:r>
          </w:p>
        </w:tc>
      </w:tr>
      <w:tr>
        <w:tc>
          <w:tcPr>
            <w:tcW w:type="dxa" w:w="9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TC-09</w:t>
            </w:r>
          </w:p>
        </w:tc>
        <w:tc>
          <w:tcPr>
            <w:tcW w:type="dxa" w:w="14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Result status indicator</w:t>
            </w:r>
          </w:p>
        </w:tc>
        <w:tc>
          <w:tcPr>
            <w:tcW w:type="dxa" w:w="183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Submit a valid request and observe the "Your learning space" panel</w:t>
            </w:r>
          </w:p>
        </w:tc>
        <w:tc>
          <w:tcPr>
            <w:tcW w:type="dxa" w:w="20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 badge changes from "Ready" to "Complete" once a response is generated</w:t>
            </w:r>
          </w:p>
        </w:tc>
        <w:tc>
          <w:tcPr>
            <w:tcW w:type="dxa" w:w="220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 badge changed from "Ready" to "Complete" after the Explain a Topic request completed</w:t>
            </w:r>
          </w:p>
        </w:tc>
        <w:tc>
          <w:tcPr>
            <w:tcW w:type="dxa" w:w="9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TC-10</w:t>
            </w:r>
          </w:p>
        </w:tc>
        <w:tc>
          <w:tcPr>
            <w:tcW w:type="dxa" w:w="14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Switching between tasks</w:t>
            </w:r>
          </w:p>
        </w:tc>
        <w:tc>
          <w:tcPr>
            <w:tcW w:type="dxa" w:w="183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Select a different task from the dropdown after a result is shown</w:t>
            </w:r>
          </w:p>
        </w:tc>
        <w:tc>
          <w:tcPr>
            <w:tcW w:type="dxa" w:w="20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Input label and placeholder update to match the newly selected task</w:t>
            </w:r>
          </w:p>
        </w:tc>
        <w:tc>
          <w:tcPr>
            <w:tcW w:type="dxa" w:w="220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Input field label changed appropriately (e.g. "Topic" for Explain a Topic vs. "Your question" for Ask a Question) as seen across the two dropdown states</w:t>
            </w:r>
          </w:p>
        </w:tc>
        <w:tc>
          <w:tcPr>
            <w:tcW w:type="dxa" w:w="9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/>
      </w:pPr>
      <w:r>
        <w:t xml:space="preserve">Note: TC-08 could not be fully exercised as a live backend call within the scope of this review because only the front-end screenshots and the project document (not a running server) were available as testing evidence; it is listed as "Not Fully Verified" rather than "Pass" to avoid overstating results.</w:t>
      </w:r>
    </w:p>
    <w:p>
      <w:pPr>
        <w:pStyle w:val="Heading1"/>
        <w:spacing w:after="150" w:before="300"/>
      </w:pPr>
      <w:r>
        <w:t xml:space="preserve">6. Functional Testing</w:t>
      </w:r>
    </w:p>
    <w:p>
      <w:pPr>
        <w:pStyle w:val="Heading3"/>
        <w:spacing w:after="100" w:before="180"/>
      </w:pPr>
      <w:r>
        <w:t xml:space="preserve">Explanation Module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Purpose: Provide simplified, easy-to-read explanations of concepts using the local LaMini-Flan-T5-783M model.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performed: Submitted the topic "Explain the coding language Python" via the Explain a Topic task.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Expected behaviour: A clear, structured explanation broken into sections (definition, how it works, example, key points).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Observed behaviour: The module returned a well-structured, multi-part explanation covering the definition of Python, how the interpreter works, a runnable code example, and key takeaways.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Result: Pass.</w:t>
      </w:r>
    </w:p>
    <w:p>
      <w:pPr>
        <w:pStyle w:val="Heading3"/>
        <w:spacing w:after="100" w:before="180"/>
      </w:pPr>
      <w:r>
        <w:t xml:space="preserve">Q&amp;A Module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Purpose: Answer general knowledge and academic questions using Gemini 1.5 Pro.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performed: Verified the presence and correct labelling of the "Ask a Question" task and its dedicated /qa endpoint as documented.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Expected behaviour: A concise, accurate answer to the submitted question.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Observed behaviour: The task screen correctly displays a question-specific placeholder ("Example: Which is the largest ocean?") and routes to the Q&amp;A module described in the project document.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Result: Pass (consistent with documented module behaviour).</w:t>
      </w:r>
    </w:p>
    <w:p>
      <w:pPr>
        <w:pStyle w:val="Heading3"/>
        <w:spacing w:after="100" w:before="180"/>
      </w:pPr>
      <w:r>
        <w:t xml:space="preserve">Quiz Module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Purpose: Generate three MCQs (four options each) from a topic or passage using Gemini.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performed: Reviewed the Quiz module logic, including its use of clean_json_block to sanitize Gemini's JSON output before parsing.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Expected behaviour: Three valid MCQs, each with four options, rendered as an interactive quiz.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Observed behaviour: The documented logic correctly sends a structured prompt, strips Markdown code fences from the response, and parses the result into a Python list for rendering.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Result: Pass (consistent with documented module behaviour).</w:t>
      </w:r>
    </w:p>
    <w:p>
      <w:pPr>
        <w:pStyle w:val="Heading3"/>
        <w:spacing w:after="100" w:before="180"/>
      </w:pPr>
      <w:r>
        <w:t xml:space="preserve">Summary Module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Purpose: Condense long educational passages into concise summaries using Gemini.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performed: Reviewed the module's use of Gemini's generative capability to shorten input text.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Expected behaviour: A shorter version of the input that retains core information.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Observed behaviour: Module design and endpoint (/summarize) match the documented summarization behaviour.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Result: Pass (consistent with documented module behaviour).</w:t>
      </w:r>
    </w:p>
    <w:p>
      <w:pPr>
        <w:pStyle w:val="Heading3"/>
        <w:spacing w:after="100" w:before="180"/>
      </w:pPr>
      <w:r>
        <w:t xml:space="preserve">Learning Path Module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Purpose: Generate a personalized, staged (beginner-to-advanced) learning path with resources using Gemini.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performed: Reviewed the get_learning_recommendations function and its error handling for invalid/incomplete responses.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Expected behaviour: A structured learning path with resource suggestions (videos, articles, books).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Observed behaviour: Function design correctly builds a detailed prompt and safely handles API responses, returning either the generated path or a fallback error message.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Result: Pass (consistent with documented module behaviour).</w:t>
      </w:r>
    </w:p>
    <w:p>
      <w:pPr>
        <w:pStyle w:val="Heading1"/>
        <w:spacing w:after="150" w:before="300"/>
      </w:pPr>
      <w:r>
        <w:t xml:space="preserve">7. AI / Gemini Testing</w:t>
      </w:r>
    </w:p>
    <w:p>
      <w:pPr>
        <w:spacing w:after="120"/>
      </w:pPr>
      <w:r>
        <w:t xml:space="preserve">Because EduGenie is an AI-powered project, AI functionality was reviewed with particular attention to the following aspects: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 user prompts: Confirmed via the "Explain the coding language Python" test that a valid prompt produces a relevant, on-topic response.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Different input types: The application supports five distinct input contexts (question, topic, quiz source text, passage to summarize, learning topic), each with its own placeholder and label.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response generation: The Explain a Topic flow confirmed that a response is generated and rendered without manual intervention.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Response relevance: The generated Python explanation stayed on-topic and matched the requested subject.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Response display: The generated content was rendered as formatted text (headings, bullet points, and a code block) inside the "Your learning space" panel.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API communication: The frontend-to-backend flow (form submission → FastAPI endpoint → Gemini/LaMini-Flan-T5 module → response) matches the architecture described in the project document.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Empty/invalid input handling: Not independently exercised against a live backend in this review; see Section 10 for details.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API failure/error handling: The Quiz and Learning Path modules include documented fallback error messages when the Gemini API response is invalid, incomplete, or fails to parse as JSON.</w:t>
      </w:r>
    </w:p>
    <w:p>
      <w:pPr>
        <w:spacing w:after="120"/>
      </w:pPr>
      <w:r>
        <w:t xml:space="preserve">No claims are made here about the general accuracy of Gemini-generated content beyond what was directly observed in the tested Explain a Topic example, since broader accuracy evaluation was outside the scope of the available testing evidence.</w:t>
      </w:r>
    </w:p>
    <w:p>
      <w:pPr>
        <w:pStyle w:val="Heading1"/>
        <w:spacing w:after="150" w:before="300"/>
      </w:pPr>
      <w:r>
        <w:t xml:space="preserve">8. UI Testing</w:t>
      </w:r>
    </w:p>
    <w:p>
      <w:pPr>
        <w:spacing w:after="120"/>
      </w:pPr>
      <w:r>
        <w:t xml:space="preserve">The user interface was reviewed for the following elements: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Page loading: The homepage loads with the EduGenie logo, tagline ("Learn better. One step at a time."), and the "Start a Learning Session" form.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Navigation: The single-page form flow (task selection → input → result) was confirmed to work without page reloads.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Buttons: The gradient "Generate" button is present and clearly labelled with an arrow icon.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Input fields: The task dropdown and multi-line text area are present, with task-specific placeholder text (e.g. "Example: Which is the largest ocean?").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Forms: The "Choose a task" and text-input form fields update correctly when a different task is selected.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Output section: The "Your learning space" panel displays the AI-generated result and a status badge ("Ready" / "Complete").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Layout &amp; readability: Generated explanations are rendered with clear section headings, numbered steps, and a code block for readability.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Responsiveness: Not verified in this round of testing, as only fixed-width screenshots were available as evidence.</w:t>
      </w:r>
    </w:p>
    <w:p>
      <w:pPr>
        <w:jc w:val="center"/>
      </w:pPr>
      <w:r>
        <w:drawing>
          <wp:inline distT="0" distB="0" distL="0" distR="0">
            <wp:extent cx="4210050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Figure 1: EduGenie "Explain a Topic" output during testing, showing the generated explanation of Python.</w:t>
      </w:r>
    </w:p>
    <w:p>
      <w:pPr>
        <w:jc w:val="center"/>
      </w:pPr>
      <w:r>
        <w:drawing>
          <wp:inline distT="0" distB="0" distL="0" distR="0">
            <wp:extent cx="421005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Figure 2: EduGenie task dropdown showing all five supported tasks (Ask a Question, Explain a Topic, Generate Quiz, Summarize Text, Recommend Learning Path).</w:t>
      </w:r>
    </w:p>
    <w:p>
      <w:pPr>
        <w:jc w:val="center"/>
      </w:pPr>
      <w:r>
        <w:drawing>
          <wp:inline distT="0" distB="0" distL="0" distR="0">
            <wp:extent cx="2924175" cy="669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Figure 3: EduGenie initial "Ask a Question" state, showing the empty input form and the "Ready" status badge before generation.</w:t>
      </w:r>
    </w:p>
    <w:p>
      <w:pPr>
        <w:pStyle w:val="Heading1"/>
        <w:spacing w:after="150" w:before="300"/>
      </w:pPr>
      <w:r>
        <w:t xml:space="preserve">9. Integration Testing</w:t>
      </w:r>
    </w:p>
    <w:p>
      <w:pPr>
        <w:spacing w:after="120"/>
      </w:pPr>
      <w:r>
        <w:t xml:space="preserve">Integration testing focused on verifying that EduGenie's components work together as a single pipeline, following the architecture described in the project document:</w:t>
      </w:r>
    </w:p>
    <w:p>
      <w:pPr>
        <w:spacing w:after="120"/>
      </w:pPr>
      <w:r>
        <w:rPr>
          <w:i/>
          <w:iCs/>
        </w:rPr>
        <w:t xml:space="preserve">User Interface (HTML/CSS form) → FastAPI Backend (task-specific endpoint) → AI Module (Gemini 1.5 Pro or LaMini-Flan-T5) → Generated Response → User Interface ("Your learning space" panel)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UI → Backend: Confirmed that selecting a task and clicking "Generate" sends the form data as a POST request to the corresponding FastAPI endpoint, as documented in Activity 3.2 (Live Integration).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 → AI Module: Confirmed via code/module description that each endpoint (/qa, /explain, /quiz, /summarize, /learn/recommendations) is wired to its respective module (qna.py, explanation_module.py, quiz_module.py, summary_module.py, learning_path.py).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Module → Response: Confirmed that the Explain a Topic module returned a generated response that was successfully passed back to the frontend.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Response → UI: Confirmed that the result panel updates in real time below the input box, with its status badge changing from "Ready" to "Complete".</w:t>
      </w:r>
    </w:p>
    <w:p>
      <w:pPr>
        <w:pStyle w:val="Heading1"/>
        <w:spacing w:after="150" w:before="300"/>
      </w:pPr>
      <w:r>
        <w:t xml:space="preserve">10. Error Handling Testing</w:t>
      </w:r>
    </w:p>
    <w:p>
      <w:pPr>
        <w:spacing w:after="120"/>
      </w:pPr>
      <w:r>
        <w:t xml:space="preserve">The following failure scenarios, applicable to EduGenie's actual implementation, were reviewed: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70"/>
        <w:gridCol w:w="2496"/>
        <w:gridCol w:w="3994"/>
      </w:tblGrid>
      <w:tr>
        <w:trPr>
          <w:tblHeader/>
        </w:trPr>
        <w:tc>
          <w:tcPr>
            <w:tcW w:type="dxa" w:w="287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2496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Applicability</w:t>
            </w:r>
          </w:p>
        </w:tc>
        <w:tc>
          <w:tcPr>
            <w:tcW w:type="dxa" w:w="3994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Observed / Documented Behaviour</w:t>
            </w:r>
          </w:p>
        </w:tc>
      </w:tr>
      <w:tr>
        <w:tc>
          <w:tcPr>
            <w:tcW w:type="dxa" w:w="28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Empty input</w:t>
            </w:r>
          </w:p>
        </w:tc>
        <w:tc>
          <w:tcPr>
            <w:tcW w:type="dxa" w:w="24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Applicable (text area is user-editable)</w:t>
            </w:r>
          </w:p>
        </w:tc>
        <w:tc>
          <w:tcPr>
            <w:tcW w:type="dxa" w:w="399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independently exercised against a live server in this review; the form does not appear to include client-side required-field validation in the screenshots reviewed</w:t>
            </w:r>
          </w:p>
        </w:tc>
      </w:tr>
      <w:tr>
        <w:tc>
          <w:tcPr>
            <w:tcW w:type="dxa" w:w="28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Invalid/unstructured AI output (e.g. malformed JSON from Gemini)</w:t>
            </w:r>
          </w:p>
        </w:tc>
        <w:tc>
          <w:tcPr>
            <w:tcW w:type="dxa" w:w="24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Applicable (Quiz module)</w:t>
            </w:r>
          </w:p>
        </w:tc>
        <w:tc>
          <w:tcPr>
            <w:tcW w:type="dxa" w:w="399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Documented: clean_json_block strips Markdown fences before parsing; a detailed error message is returned if parsing still fails</w:t>
            </w:r>
          </w:p>
        </w:tc>
      </w:tr>
      <w:tr>
        <w:tc>
          <w:tcPr>
            <w:tcW w:type="dxa" w:w="28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Missing/incomplete Learning Path response</w:t>
            </w:r>
          </w:p>
        </w:tc>
        <w:tc>
          <w:tcPr>
            <w:tcW w:type="dxa" w:w="24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Applicable (Learning Path module)</w:t>
            </w:r>
          </w:p>
        </w:tc>
        <w:tc>
          <w:tcPr>
            <w:tcW w:type="dxa" w:w="399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Documented: get_learning_recommendations safely handles the API response and returns a helpful error message if the response is invalid or incomplete</w:t>
            </w:r>
          </w:p>
        </w:tc>
      </w:tr>
      <w:tr>
        <w:tc>
          <w:tcPr>
            <w:tcW w:type="dxa" w:w="28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failure (e.g. Gemini API unreachable or key invalid)</w:t>
            </w:r>
          </w:p>
        </w:tc>
        <w:tc>
          <w:tcPr>
            <w:tcW w:type="dxa" w:w="24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Applicable (Gemini-powered modules)</w:t>
            </w:r>
          </w:p>
        </w:tc>
        <w:tc>
          <w:tcPr>
            <w:tcW w:type="dxa" w:w="399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independently exercised in this review; the project document's own security guidance stresses safe handling of the API key but does not describe a specific in-app error UI for this case</w:t>
            </w:r>
          </w:p>
        </w:tc>
      </w:tr>
      <w:tr>
        <w:tc>
          <w:tcPr>
            <w:tcW w:type="dxa" w:w="28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unavailable (server not running)</w:t>
            </w:r>
          </w:p>
        </w:tc>
        <w:tc>
          <w:tcPr>
            <w:tcW w:type="dxa" w:w="24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Applicable (any FastAPI deployment)</w:t>
            </w:r>
          </w:p>
        </w:tc>
        <w:tc>
          <w:tcPr>
            <w:tcW w:type="dxa" w:w="399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independently exercised in this review; this scenario would need to be tested against a live running instance</w:t>
            </w:r>
          </w:p>
        </w:tc>
      </w:tr>
    </w:tbl>
    <w:p>
      <w:pPr>
        <w:spacing w:after="120"/>
      </w:pPr>
      <w:r>
        <w:t xml:space="preserve">Where a scenario could not be independently verified because only static evidence (project document and screenshots) was available rather than a live running instance, this has been stated plainly instead of assuming a result.</w:t>
      </w:r>
    </w:p>
    <w:p>
      <w:pPr>
        <w:pStyle w:val="Heading1"/>
        <w:spacing w:after="150" w:before="300"/>
      </w:pPr>
      <w:r>
        <w:t xml:space="preserve">11. Bug Identification and Fixes</w:t>
      </w:r>
    </w:p>
    <w:p>
      <w:pPr>
        <w:spacing w:after="120"/>
      </w:pPr>
      <w:r>
        <w:t xml:space="preserve">Based on the available testing evidence (project documentation and application screenshots), no critical unresolved defects were identified in the core Explain a Topic flow, the task-selection UI, or the documented module logic.</w:t>
      </w:r>
    </w:p>
    <w:p>
      <w:pPr>
        <w:spacing w:after="120"/>
      </w:pPr>
      <w:r>
        <w:t xml:space="preserve">Two minor observations were noted for awareness rather than as confirmed defects: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0"/>
        <w:gridCol w:w="1980"/>
        <w:gridCol w:w="2070"/>
        <w:gridCol w:w="1800"/>
      </w:tblGrid>
      <w:tr>
        <w:trPr>
          <w:tblHeader/>
        </w:trPr>
        <w:tc>
          <w:tcPr>
            <w:tcW w:type="dxa" w:w="117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Observation ID</w:t>
            </w:r>
          </w:p>
        </w:tc>
        <w:tc>
          <w:tcPr>
            <w:tcW w:type="dxa" w:w="234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Observation</w:t>
            </w:r>
          </w:p>
        </w:tc>
        <w:tc>
          <w:tcPr>
            <w:tcW w:type="dxa" w:w="19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Possible Cause</w:t>
            </w:r>
          </w:p>
        </w:tc>
        <w:tc>
          <w:tcPr>
            <w:tcW w:type="dxa" w:w="207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Recommended Action</w:t>
            </w:r>
          </w:p>
        </w:tc>
        <w:tc>
          <w:tcPr>
            <w:tcW w:type="dxa" w:w="18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11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OBS-01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Empty-input and API-failure handling for the live application could not be exercised in this review</w:t>
            </w:r>
          </w:p>
        </w:tc>
        <w:tc>
          <w:tcPr>
            <w:tcW w:type="dxa" w:w="19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Only static screenshots/documentation were available, not a running instance</w:t>
            </w:r>
          </w:p>
        </w:tc>
        <w:tc>
          <w:tcPr>
            <w:tcW w:type="dxa" w:w="20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Perform a live functional pass covering empty submissions and simulated API failures before final submission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 — requires access to a running instance</w:t>
            </w:r>
          </w:p>
        </w:tc>
      </w:tr>
      <w:tr>
        <w:tc>
          <w:tcPr>
            <w:tcW w:type="dxa" w:w="11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OBS-02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Responsiveness on smaller screen sizes was not evidenced</w:t>
            </w:r>
          </w:p>
        </w:tc>
        <w:tc>
          <w:tcPr>
            <w:tcW w:type="dxa" w:w="19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Screenshots reviewed were all fixed-width desktop captures</w:t>
            </w:r>
          </w:p>
        </w:tc>
        <w:tc>
          <w:tcPr>
            <w:tcW w:type="dxa" w:w="20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Capture or test a mobile/narrow-viewport view if responsive support is claimed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 — requires additional screenshots or live testing</w:t>
            </w:r>
          </w:p>
        </w:tc>
      </w:tr>
    </w:tbl>
    <w:p>
      <w:pPr>
        <w:spacing w:after="120"/>
      </w:pPr>
      <w:r>
        <w:t xml:space="preserve">These are documentation gaps in the available testing evidence rather than confirmed application bugs, and are listed transparently rather than assumed to be either passing or failing.</w:t>
      </w:r>
    </w:p>
    <w:p>
      <w:pPr>
        <w:pStyle w:val="Heading1"/>
        <w:spacing w:after="150" w:before="300"/>
      </w:pPr>
      <w:r>
        <w:t xml:space="preserve">12. Testing Results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310"/>
        <w:gridCol w:w="1123"/>
        <w:gridCol w:w="3182"/>
      </w:tblGrid>
      <w:tr>
        <w:trPr>
          <w:tblHeader/>
        </w:trPr>
        <w:tc>
          <w:tcPr>
            <w:tcW w:type="dxa" w:w="1872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Testing Area</w:t>
            </w:r>
          </w:p>
        </w:tc>
        <w:tc>
          <w:tcPr>
            <w:tcW w:type="dxa" w:w="1872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Tests Performed</w:t>
            </w:r>
          </w:p>
        </w:tc>
        <w:tc>
          <w:tcPr>
            <w:tcW w:type="dxa" w:w="131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Passed</w:t>
            </w:r>
          </w:p>
        </w:tc>
        <w:tc>
          <w:tcPr>
            <w:tcW w:type="dxa" w:w="1123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Failed</w:t>
            </w:r>
          </w:p>
        </w:tc>
        <w:tc>
          <w:tcPr>
            <w:tcW w:type="dxa" w:w="3182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Functional Testing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2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18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five core modules (Explain, Q&amp;A, Quiz, Summary, Learning Path) matched documented behaviour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 Testing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(multi-part review)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2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18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Landing page, dropdown, form, and result panel rendered correctly per screenshots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/ Gemini Testing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(directly observed) + 4 (reviewed via documentation)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directly confirmed</w:t>
            </w:r>
          </w:p>
        </w:tc>
        <w:tc>
          <w:tcPr>
            <w:tcW w:type="dxa" w:w="112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18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 evidence available only for the Explain a Topic flow; other AI modules verified against documented logic, not live output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12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18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 → Backend → AI Module → UI flow confirmed consistent with documented architecture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scenarios reviewed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documented as handled</w:t>
            </w:r>
          </w:p>
        </w:tc>
        <w:tc>
          <w:tcPr>
            <w:tcW w:type="dxa" w:w="112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18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scenarios (empty input, API failure, backend unavailable) not independently exercised; not counted as failures, marked "not fully verified"</w:t>
            </w:r>
          </w:p>
        </w:tc>
      </w:tr>
    </w:tbl>
    <w:p>
      <w:pPr>
        <w:spacing w:after="120"/>
      </w:pPr>
      <w:r>
        <w:t xml:space="preserve">Total: 10 test cases were designed (Section 5); 9 were confirmed as Pass based on available evidence, and 1 (TC-08, empty input) is marked "Not Fully Verified" due to the absence of a live backend during this testing pass. No test case failed outright.</w:t>
      </w:r>
    </w:p>
    <w:p>
      <w:pPr>
        <w:pStyle w:val="Heading1"/>
        <w:spacing w:after="150" w:before="300"/>
      </w:pPr>
      <w:r>
        <w:t xml:space="preserve">13. Final Testing Outcome</w:t>
      </w:r>
    </w:p>
    <w:p>
      <w:pPr>
        <w:spacing w:after="120"/>
      </w:pPr>
      <w:r>
        <w:t xml:space="preserve">Based on the available testing evidence — the project documentation, the described module logic, and the application screenshots showing the working "Explain a Topic" flow — EduGenie's core features (Ask a Question, Explain a Topic, Generate Quiz, Summarize Text, Recommend Learning Path) are implemented as described and function correctly for the scenario that was directly observed (Explain a Topic).</w:t>
      </w:r>
    </w:p>
    <w:p>
      <w:pPr>
        <w:spacing w:after="120"/>
      </w:pPr>
      <w:r>
        <w:t xml:space="preserve">The remaining four AI modules are consistent with their documented design and endpoint wiring but were verified against the project's own written description and module logic rather than a freshly executed live run in this testing pass. Certain edge cases — empty input handling, API failure handling, and responsive layout on smaller screens — were not independently exercised and are flagged above rather than assumed to pass.</w:t>
      </w:r>
    </w:p>
    <w:p>
      <w:pPr>
        <w:spacing w:after="120"/>
      </w:pPr>
      <w:r>
        <w:t xml:space="preserve">Overall, EduGenie is functioning as intended for its primary use cases based on the evidence available. The application is not claimed to be completely free of edge-case issues; the observations in Section 11 should be revisited with live testing before final submission to strengthen confidence ahead of Phase 7 (Project Documentation) and Phase 8 (Project Demonstration).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6340271743314aa95ed5999f9646eeb96edc2c.png"/><Relationship Id="rId8" Type="http://schemas.openxmlformats.org/officeDocument/2006/relationships/image" Target="media/91cbd317806d26ec94827e08477ba6c2cea474e8.png"/><Relationship Id="rId9" Type="http://schemas.openxmlformats.org/officeDocument/2006/relationships/image" Target="media/8abe27e2060866db2fab8bad4eac353028ce273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2026-09-23T17:45:29.799Z</dcterms:created>
  <dcterms:modified xsi:type="dcterms:W3CDTF">2026-09-23T17:45:29.811Z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