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6699"/>
          <w:sz w:val="44"/>
        </w:rPr>
        <w:t>ZeroBreach AI — Enterprise Technical Architecture &amp; System Specification</w:t>
      </w:r>
    </w:p>
    <w:p>
      <w:pPr>
        <w:spacing w:after="320"/>
      </w:pPr>
      <w:r>
        <w:rPr>
          <w:i/>
          <w:color w:val="646464"/>
          <w:sz w:val="20"/>
        </w:rPr>
        <w:t>Platform Version: 2.5.0-Production | Engine: Dual-Model Ensemble (Random Forest + XGBoost) | Classification: Enterprise NDR/NIDS</w:t>
      </w:r>
    </w:p>
    <w:p>
      <w:pPr>
        <w:pStyle w:val="Heading1"/>
        <w:spacing w:before="280" w:after="120"/>
      </w:pPr>
      <w:r>
        <w:t>1. Executive Overview</w:t>
      </w:r>
    </w:p>
    <w:p>
      <w:pPr>
        <w:spacing w:line="276" w:lineRule="auto"/>
      </w:pPr>
      <w:r>
        <w:t>ZeroBreach AI is an enterprise-grade Network Intrusion Detection &amp; Threat Intelligence Platform (NIDS/NDR) engineered to ingest, inspect, and evaluate network packet flows in real-time. By bridging high-throughput packet sniffer hardware/software layers with machine learning inference engines, ZeroBreach AI flags malicious anomalies, calculates context-aware risk scores, profiles targeted infrastructure assets, and arms Security Operations Center (SOC) personnel with operational telemetry.</w:t>
      </w:r>
    </w:p>
    <w:p>
      <w:pPr>
        <w:pStyle w:val="Heading1"/>
        <w:spacing w:before="280" w:after="120"/>
      </w:pPr>
      <w:r>
        <w:t>2. User Roles, Personas &amp; Access Control (RBAC)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006699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484"/>
            <w:shd w:val="clear" w:color="auto" w:fill="006699"/>
          </w:tcPr>
          <w:p>
            <w:r>
              <w:rPr>
                <w:b/>
                <w:color w:val="FFFFFF"/>
              </w:rPr>
              <w:t>Access Tier</w:t>
            </w:r>
          </w:p>
        </w:tc>
        <w:tc>
          <w:tcPr>
            <w:tcW w:type="dxa" w:w="2484"/>
            <w:shd w:val="clear" w:color="auto" w:fill="006699"/>
          </w:tcPr>
          <w:p>
            <w:r>
              <w:rPr>
                <w:b/>
                <w:color w:val="FFFFFF"/>
              </w:rPr>
              <w:t>Allowed Capabilities</w:t>
            </w:r>
          </w:p>
        </w:tc>
        <w:tc>
          <w:tcPr>
            <w:tcW w:type="dxa" w:w="2484"/>
            <w:shd w:val="clear" w:color="auto" w:fill="006699"/>
          </w:tcPr>
          <w:p>
            <w:r>
              <w:rPr>
                <w:b/>
                <w:color w:val="FFFFFF"/>
              </w:rPr>
              <w:t>Restricted Endpoints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Administrator (admin)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Full Root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User Management, API Tokens, Audit Logs, DR Backups, SIEM, System Config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None (Complete unrestricted access)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SOC Lead (soc)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Operational Command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Live Packet Sniffing, PCAP Ingestion, Threat Triage, SIEM Export, Tickets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User Role Creation, Root Secrets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Security Analyst (analyst)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Core Telemetry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PCAP Upload &amp; Ingestion, Threat Hunting, Live Sniffer Monitoring, Ticket Submissions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Global System Configuration, DR Snapshots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Enterprise User (enterprise)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Executive Read-Only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3D Telemetry Dashboard, Threat Frequency Spectrum, Protocol Sphere, SLA Reports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PCAP Upload, Sniffer Start/Stop, SIEM Export</w:t>
            </w:r>
          </w:p>
        </w:tc>
      </w:tr>
    </w:tbl>
    <w:p>
      <w:pPr>
        <w:pStyle w:val="Heading1"/>
        <w:spacing w:before="280" w:after="120"/>
      </w:pPr>
      <w:r>
        <w:t>3. Dual-Model Machine Learning Engine (Champion-Challenger Architecture)</w:t>
      </w:r>
    </w:p>
    <w:p>
      <w:pPr>
        <w:spacing w:line="276" w:lineRule="auto"/>
      </w:pPr>
      <w:r>
        <w:t>To eliminate single-model bias, minimize false positives, and maximize intrusion detection recall on subtle zero-day vectors, ZeroBreach AI operates a Dual-Model Ensemble Inference Engine featuring real-time Dynamic Confidence Arbitration.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06699"/>
          </w:tcPr>
          <w:p>
            <w:r>
              <w:rPr>
                <w:b/>
                <w:color w:val="FFFFFF"/>
              </w:rPr>
              <w:t>Characteristic</w:t>
            </w:r>
          </w:p>
        </w:tc>
        <w:tc>
          <w:tcPr>
            <w:tcW w:type="dxa" w:w="3312"/>
            <w:shd w:val="clear" w:color="auto" w:fill="006699"/>
          </w:tcPr>
          <w:p>
            <w:r>
              <w:rPr>
                <w:b/>
                <w:color w:val="FFFFFF"/>
              </w:rPr>
              <w:t>Model 1: Primary (Champion)</w:t>
            </w:r>
          </w:p>
        </w:tc>
        <w:tc>
          <w:tcPr>
            <w:tcW w:type="dxa" w:w="3312"/>
            <w:shd w:val="clear" w:color="auto" w:fill="006699"/>
          </w:tcPr>
          <w:p>
            <w:r>
              <w:rPr>
                <w:b/>
                <w:color w:val="FFFFFF"/>
              </w:rPr>
              <w:t>Model 2: Secondary (Challenger)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Algorithm Family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Random Forest Classifier (RandomForestClassifier)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Gradient Boosted Decision Trees (XGBClassifier)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Ensemble Paradigm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Bagging (Bootstrap Aggregation of Deep Trees)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Boosting (Sequential Residual Error Optimization)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Estimator Capacity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100 Trees (n_estimators=100)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100 Gradient Boosted Trees (max_depth=6, lr=0.1)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Feature Dimensionality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81 Statistical NetFlow Features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81 Statistical NetFlow Features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Target Classes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13 Attack Classes (CICIDS2017)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13 Attack Classes (CICIDS2017)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Specialized Strength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Broad boundary generalization, noise resistance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Complex multi-feature edge cases &amp; rare threats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Arbitration Method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Dynamic Confidence Maximization (Winner: max prob)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Dynamic Confidence Maximization (Winner: max prob)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Disagreement Logging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Tagged in MongoDB traffic_logs (model_disagreement: bool)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Tagged in MongoDB traffic_logs (model_disagreement: bool)</w:t>
            </w:r>
          </w:p>
        </w:tc>
      </w:tr>
    </w:tbl>
    <w:p>
      <w:pPr>
        <w:pStyle w:val="Heading2"/>
        <w:spacing w:before="280" w:after="120"/>
      </w:pPr>
      <w:r>
        <w:t>Dynamic Confidence Arbitration Algorithm</w:t>
      </w:r>
    </w:p>
    <w:p>
      <w:r>
        <w:t>1. Both models evaluate the 81-feature flow vector in parallel.</w:t>
        <w:br/>
        <w:t>2. Winning class confidence is calculated: c_RF = max(P_RF) and c_XGB = max(P_XGB).</w:t>
        <w:br/>
        <w:t>3. Winner Selection: The prediction from the model with the higher class confidence is chosen as the final alert.</w:t>
        <w:br/>
        <w:t>4. Disagreement Auditing: If the two models predict differing classes, model_disagreement is flagged as True and stored in MongoDB.</w:t>
      </w:r>
    </w:p>
    <w:p>
      <w:pPr>
        <w:pStyle w:val="Heading1"/>
        <w:spacing w:before="280" w:after="120"/>
      </w:pPr>
      <w:r>
        <w:t>4. Context-Aware Risk Scoring Mathematical Formula</w:t>
      </w:r>
    </w:p>
    <w:p>
      <w:r>
        <w:t>Final Risk Score = max((W_conf * C) + (W_sev * S) + (W_asset * A)) * 100, Context Floor)</w:t>
        <w:br/>
        <w:br/>
        <w:t>Where:</w:t>
        <w:br/>
        <w:t>• W_conf = 0.5 (50% weight): Model Confidence (max predicted class probability)</w:t>
        <w:br/>
        <w:t>• W_sev = 0.3 (30% weight): Attack Category Severity (0.30 for Portscan up to 1.00 for Infiltration/Heartbleed)</w:t>
        <w:br/>
        <w:t>• W_asset = 0.2 (20% weight): Targeted Asset Criticality (0.80 for App Servers, 1.00 for Production DB/Domain Controller)</w:t>
        <w:br/>
        <w:t>• Context Floor = 60.0: Enforced whenever attack severity &gt;= 0.95 and asset criticality &gt;= 0.80.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