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BC3AD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24 Feb 2017</w:t>
      </w:r>
    </w:p>
    <w:p w:rsidR="009B738F" w:rsidRPr="00C81D54" w:rsidRDefault="00BC3AD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BC3AD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BC3AD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BC3AD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11,000</w:t>
            </w:r>
          </w:p>
        </w:tc>
        <w:tc>
          <w:tcPr>
            <w:tcW w:w="6007" w:type="dxa"/>
          </w:tcPr>
          <w:p w:rsidR="005D0EF9" w:rsidRDefault="00BC3AD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Magdalene Yow</w:t>
            </w:r>
          </w:p>
          <w:p w:rsidR="00DF0CE6" w:rsidRPr="00A2216A" w:rsidRDefault="00BC3AD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Aberdeen Asset Management Asia Limited</w:t>
            </w:r>
          </w:p>
          <w:p w:rsidR="007F0C3D" w:rsidRDefault="00BC3AD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14 years</w:t>
                  </w:r>
                </w:p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Finance Manager</w:t>
                  </w:r>
                </w:p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ARA Asset Management Limited</w:t>
                  </w:r>
                </w:p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</w:t>
                  </w:r>
                </w:p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achelor's (2003)</w:t>
                  </w:r>
                </w:p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81888790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magyow@hotmail.com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36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BC3A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BC3AD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BC3AD9">
      <w:pPr>
        <w:rPr>
          <w:rFonts w:ascii="Arial" w:hAnsi="Arial" w:cs="Arial"/>
          <w:sz w:val="16"/>
          <w:szCs w:val="16"/>
        </w:rPr>
      </w:pPr>
    </w:p>
    <w:p w:rsidR="008A5E1C" w:rsidRPr="006A20C8" w:rsidRDefault="00BC3A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BC3A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2015 - Present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Aberdeen Asset Management Asia Limited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10,450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Assisting the Head of Finance in planning and managing the monthly / interim financial reporting processes which includes: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Co-ordinate and oversee the monthly reporting of all Asia Pacific entities to ensu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 accuracy and timeliness of reporting to Aberdeen parent company.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Ensuring compliance with internal and regulatory policies, procedures and internal controls.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technical expertise and advise on adhoc basis for more complex accounting issues wi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thin Asia Pacific.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in the supervision of 3 finance staff (Local team of 10 staff with 3 direct reports).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Meet all regulatory and Group’s reporting requirements and ensure timeliness and accuracy of monthly/interim accounts close Singapore, Chin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 and South Korea entities, which includes: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Financial reporting to Monetary Authority of Singapore (“MAS”) for Singapore Capital Markets Services Licence on quarterly and annual basis as required;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Working with Legal team to ensure timely filing of all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statutory reports with the local regulatory authorities (e.g. ACRA and equivalent in other countries);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- Liaising with overseas service providers for accounting/tax services on monthly accounts;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 detailed and accurate schedules are maintained for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udit &amp; tax purposes;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Liaising with local and overseas auditors/tax agents on any adhoc queries;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Preparation / review of local and overseas statutory financial statements;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corporate tax return workings with tax manager in preparation for interi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 / statutory reporting; and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All other adhoc financial reporting (e.g. Singapore Statistics)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Work closely with Legal team and other relevant business units to review and contribute to the drafting of sound commercial agreements (e.g. Investment Managem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ent Agreements, Distribution Agreements, intercompany agreements etc.)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 monthly analysis on the business performance and suggest implications.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Oct 2010 - May 2015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ARA Asset Management Limited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igher Sec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8,500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Responsibilities: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Leading a team of 7 individuals, my key responsibilities are: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Manage and coordinate Corporate Finance Department operations, financial and budget management of the Group, which includes more than su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bsidiaries.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Establish financial and internal control policies and procedures, and ensure regulatory compliance to SGX rules, company and tax laws and conformance to accounting standards which includes SFRS/HK GAAP/Malaysia FRS/IFRS.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Responsible for 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roup consolidation, analyzing and reporting monthly performance, annual budgets and forecasts of the Group.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Treasury and cash flow forecast, working capital monitoring and management of the Group in excess of S$80 million with relevant exposure to corpo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rate capital fund raising programs (e.g. convertible bonds, medium-term- notes, credit facilities).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Manage the Group’s held-for-trading financial assets, in excess of S$40 million; Monitor the equity market and report back to Group CFO with make appropr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iate proposals on investment / divestment decisions.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Preparation of results announcements for SGX reporting and any other routine announcements.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Preparation of ARA Group Financial Statements, Code of Corporate Governance Report and all related circul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ars in preparation for the Company’s Annual Report.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* Meet all regulatory reporting requirements and ensure timeliness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accuracy of monthly/quarterly/annual closure for all local and overseas companies’, which includes: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* Co-ordinating the annual and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quarterly audit and tax activities process;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Liaising with both local and overseas auditors/tax agent on audit/tax queries;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Preparation and review of financial statements, segmental analysis and notes to the accounts in line with SFRS/HKFRS/IFRS;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nsuring the timely filing of all statutory reports with the local regulatory authorities (e.g. ACRA);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Financial reporting to Monetary Authority of Singapore for Singapore REIT Managers; and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Financial reporting for the Hong Kong REIT Managers which ar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licensed under Securities and Futures Commission of Hong Kong.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Monthly review of the following as prepared by the team: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Review of payment vouchers, cheques and invoices as part of day-to-day operations;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Review of monthly employees business and 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ravel claims to ensure in compliance with employee handbook administered by Human Resource Department;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All subsidiaries’ management accounts, which include fair value measurements and foreign currency cashflow hedging entries;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Inter-company reconcili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ations to ensure no out-of-balance and propose offsetting intercompany adjustments (where appropriate and efficient);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Monthly sub-group level consolidation and overall Group consolidation results;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Quarterly GST reports and submissions; and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Any oth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 unusual fluctuations requiring further enquiry and review.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Maintain positive working relationships and negotiate overdraft and financing terms with bankers.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Liaise directly with corporate secretaries, bankers, lawyers and other professionals for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d-hoc projects as assigned by the Group CFO.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Achievements: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Successfully completed an S$100 million financing for the Group within 3 months.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Responsible for liaising with vendors for the review of the various accounting and consolidation software for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implementation across all business units within 6 months of join date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Hands-on, meticulous, diligent and ability to multi-task and prioritise in meeting 100% of the deadlines with a high level of accuracy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Jan 2010 - Oct 2010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er</w:t>
            </w:r>
          </w:p>
          <w:p w:rsidR="00AD3065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Xpress Holdings Limited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6,000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Reporting to the Group Financial Contoller, my key responsibilities are: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Providing support to the Group Financial Controller and to the Senior Management in strategic busine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ss planning, management and controls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formal paper write ups for submission to the Board of Directors for approval according to the Group’s corporate governance policies and investment risk management policies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financial support 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advice to all business units and work directly with the business and operation department heads to resolve all operational issues that arise on a day-to-day basis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Review, design, implement and streamline operational workflow and effective internal cont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 systems for new retail operations and onsite print stations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Treasury and cashflow planning and management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Responsible for credit reviews and approvals for new and existing customers to manage and reduce the company’s credit risk exposure by 8%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sure credit controls and policies are adhered to according to the Group’s financial policies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Participate in credit review and arrear management meetings and advise sales directors on credit controls strategy and legal alternative in handling default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sure statutory, accounting standards and Singapore Stock Exchange (“SGX”) compliance are adhered to at all times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Review of weekly financial reports for projects with unusual gross profit margins and investigate reasons behind the deviation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Responsible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for all group taxation matters, including corporate tax, GST, withholding tax, and preparation of transfer pricing agreements to ensure compliance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Liaise directly with external and internal auditors, corporate secretaries, bankers, lawyers and other prof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essionals for ad-hoc projects as assigned by senior management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Lead the finance department and be responsible for financial and management accounting, budgeting, variance analysis and statutory reporting on a timely and accurate basis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Regular co-ordina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 and perform consolidation of the Group accounts for reporting to Senior Management and Directors and for quarterly announcements to SGX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the Group Financial Controller in quarterly announcements to SGX, preparing and submitting formal papers 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 the Board of Directors for their consideration and approvals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 monthly reviews of financial performance of Print Stations within the Group which are located In Singapore, Hong Kong, Malaysia, Vietnam and Philippines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Hands-on experience in compl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etion full sets of accounts for investment holding entity which includes General Ledger, Accounts Payable, Accounts Receivables and GST submission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Coordinated the work schedules of the department to suit finance operations for both Group and the Singapor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Subsidiary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2003 - Jan 2009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Manager</w:t>
            </w:r>
          </w:p>
          <w:p w:rsidR="00AD3065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RSM Chio Lim LLP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5,090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Specialised in performing annual statutory audits for Small Medium Enterprises (‘SMEs’) and Non-Profit-Organisation (“NPO”)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Experienced in performing audits for companies listed on the Singapore Stock Exchange (Mainboard)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Partners and Managers in sourcing for technical accounting information to resolve identified issues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Ensure client is in compliance with the Singa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pore Financial Reporting Standards, International Financial Reporting Standards, Company’s Act, Income Tax Act and other relevant Singapore Statutes applicable to the organization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Performing consolidations regularly for clients with complex set-ups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isted as Reporting Accountants for clients who intend to become publicly listed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Assisting audit clients in drafting and reviewing their financial statements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clients on completion of reporting packages especially for tight and urgent deadlines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Regularly responding to audit clients’ queries on updates in the Singapore Financial Reporting Standards and the Company’s Act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Audit Partners and Directors in managing and supervising the audit team in the professional, technical and personal aspe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cts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extensive guidance to the team via On-the-Job-Training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Always maintaining a hands – on approach on all duties assigned, delegating within the team to ensure the end results are achieved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Multi – tasking under pressure with tight and multip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 deadlines especially during peak seasons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Coordinating and prioritizing audit schedules with limited resources for client portfolio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feedback to management on areas for improvement during monthly management meetings</w:t>
            </w: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BC3A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BC3A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g Technological University</w:t>
            </w:r>
          </w:p>
          <w:p w:rsidR="00135138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1999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Anderson Junior College</w:t>
            </w:r>
          </w:p>
          <w:p w:rsidR="00135138" w:rsidRPr="006A20C8" w:rsidRDefault="00BC3A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 in Commerce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Commerce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BC3A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BC3A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Compliance, Financial Accounting</w:t>
            </w:r>
          </w:p>
        </w:tc>
      </w:tr>
    </w:tbl>
    <w:p w:rsidR="003B0B6F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BC3AD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BC3AD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BC3AD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, 10 - Excellent)</w:t>
      </w:r>
    </w:p>
    <w:p w:rsidR="007B6ADA" w:rsidRPr="006A20C8" w:rsidRDefault="00BC3A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BC3A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BC3A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BC3A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BC3AD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11,000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BC3AD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Responsibilities: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Specialised in performing annual statutory audits for Small Medium Enterprises, Non-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Profit-Organisation (“NPO”) and subsidiaries of overseas MNCs from USA, Switzerland, United Kingdom and Australia.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Experienced in performing audits for companies listed on the Singapore Stock Exchange (Mainboard)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Audit clients included industries from,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shipping, manufacturing, fund management, construction, general distribution.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Experienced in completing consolidations regularly for clients with complex set-ups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Ensure client is in compliance with the Singapore Financial Reporting Standards, Internat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ional Financial Reporting Standards, Company’s Act, Income Tax Act and other relevant Singapore Statutes applicable to the organization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Supervising an audit team of at least six in the professional, technical and personal aspects and provide extensive gu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idance to the team via On-the-Job-Training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Always maintaining a hands – on approach on all duties assigned, delegating within the team to ensure the end results are achieved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• Assist Partners and Managers in sourcing for technical accounting information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to resolve identified and contentious issues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Assisting audit clients in drafting and reviewing their financial statements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Assist clients on completion of reporting packages especially for tight and urgent deadlines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Regularly responding to audit clien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ts’ queries on updates in the Singapore Financial Reporting Standards and the Company’s Act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Multi – tasking under pressure with tight and multiple deadlines especially during peak seasons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Coordinating and prioritizing audit schedules with limited resou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rces for client portfolio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Assisted as Reporting Accountants for clients who intend to become publicly listed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Achievements: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Promoted to Audit Manager within five years of joining the firm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• Headed a team comprising of 6 members ranging from assistants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to seniors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Able to work in a stressful environment with immense pressures and under extremely tight deadlines often successfully completing audits within deadlines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Exposed to a diversified range of industries, with portfolios including industries in he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althcare, construction, shipping, manufacturing, trading and NPO’s.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Able to manage assigned audit clients and maintain good professional relations with them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Successfully completed auditing and consolidating the firm’s second largest listed company with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in two months which included 25 local entities and 19 foreign entities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Entrusted with one of the firm’s largest group consolidation which includes almost forty entities, within ten months of employment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Twice involved in the public listing process on th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e SESDAQ for one of our audit clients, who was listed successfully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Regarded as professional, mature, meticulous, diligent with a good head for numbers</w:t>
      </w: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BC3A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BC3A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BC3A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8A Upper Boon Keng Road #22-502, Singapore, 381008,</w:t>
            </w:r>
          </w:p>
          <w:p w:rsidR="00923336" w:rsidRPr="006A20C8" w:rsidRDefault="00BC3A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BC3A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BC3AD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BC3AD9">
      <w:r>
        <w:separator/>
      </w:r>
    </w:p>
  </w:endnote>
  <w:endnote w:type="continuationSeparator" w:id="0">
    <w:p w:rsidR="001043F1" w:rsidRDefault="00BC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C3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BC3AD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C3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BC3AD9">
      <w:r>
        <w:separator/>
      </w:r>
    </w:p>
  </w:footnote>
  <w:footnote w:type="continuationSeparator" w:id="0">
    <w:p w:rsidR="001043F1" w:rsidRDefault="00BC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C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C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BC3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B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4FC7-09D6-4158-AFD0-314E9503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2100</Words>
  <Characters>11974</Characters>
  <Application>Microsoft Office Word</Application>
  <DocSecurity>4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