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907A76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22 May 2017</w:t>
      </w:r>
    </w:p>
    <w:p w:rsidR="009B738F" w:rsidRPr="00C81D54" w:rsidRDefault="00907A76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907A76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907A76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907A76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2,500</w:t>
            </w:r>
          </w:p>
        </w:tc>
        <w:tc>
          <w:tcPr>
            <w:tcW w:w="6007" w:type="dxa"/>
          </w:tcPr>
          <w:p w:rsidR="005D0EF9" w:rsidRDefault="00907A76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ZHANG ZE</w:t>
            </w:r>
          </w:p>
          <w:p w:rsidR="00DF0CE6" w:rsidRPr="00A2216A" w:rsidRDefault="00907A76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Senior Account Executive at SINGCON (M&amp;E) Services Pte Ltd</w:t>
            </w:r>
          </w:p>
          <w:p w:rsidR="007F0C3D" w:rsidRDefault="00907A76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 years</w:t>
                  </w:r>
                </w:p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General manager assistant</w:t>
                  </w:r>
                </w:p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SAN JIAN INTERNATIONAL CONSTRUCTION GROUP PTE . LT</w:t>
                  </w:r>
                </w:p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ACCA</w:t>
                  </w:r>
                </w:p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 xml:space="preserve"> Degree (2015)</w:t>
                  </w:r>
                </w:p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96113264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zhangzewsd@gmail.com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907A76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28 years old</w:t>
                  </w:r>
                </w:p>
              </w:tc>
            </w:tr>
          </w:tbl>
          <w:p w:rsidR="007F0C3D" w:rsidRDefault="00907A76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907A76">
      <w:pPr>
        <w:rPr>
          <w:rFonts w:ascii="Arial" w:hAnsi="Arial" w:cs="Arial"/>
          <w:sz w:val="16"/>
          <w:szCs w:val="16"/>
        </w:rPr>
      </w:pPr>
    </w:p>
    <w:p w:rsidR="008A5E1C" w:rsidRPr="006A20C8" w:rsidRDefault="00907A7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907A7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Nov 2015 - Present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6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Senior Account Executive</w:t>
            </w:r>
          </w:p>
          <w:p w:rsidR="00AD3065" w:rsidRPr="006A20C8" w:rsidRDefault="00907A7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SINGCON (M&amp;E) Services Pte Ltd | 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Secondary Sch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2,400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 In charge of communication with overseas supplier and purchase  details.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project costing and project claim progress report to director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Account receivables, Account payables, General ledgers and bank reconciliation.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repare full set of accounts and accounting reports under Singapore FRS and liase with external auditor.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-Preparation of GST filling (quarterly) and tax computation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-Prepare petty cash and maintain it at a fix level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-Perform day-to-day accounting activities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2012 - Nov 2013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General manager assistant</w:t>
            </w:r>
          </w:p>
          <w:p w:rsidR="00AD3065" w:rsidRPr="006A20C8" w:rsidRDefault="00907A7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SAN JIAN INTERNATIONAL CONSTRUCTION GROUP PTE . LT | 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2,000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 Preparing tender and contract documents.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Preparing and calculating prices for quota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tions.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Preparation of GST filling (quarterly) and tax computation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 petty cash and maintain it at a fix level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 day-to-day accounting activities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Performing general manager assistant roles, e.g. attend meetings, prepare minutes of meetin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</w:t>
            </w: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907A7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907A7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2015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ACCA</w:t>
            </w:r>
          </w:p>
          <w:p w:rsidR="00135138" w:rsidRPr="006A20C8" w:rsidRDefault="00907A7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Business and accounting</w:t>
            </w: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Singapore republic poly</w:t>
            </w:r>
          </w:p>
          <w:p w:rsidR="00135138" w:rsidRPr="006A20C8" w:rsidRDefault="00907A76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Grade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135138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907A7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907A7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IT Skills, Microsoft Excel, Microsoft Word, MYOB Accounting Software</w:t>
            </w:r>
          </w:p>
        </w:tc>
      </w:tr>
    </w:tbl>
    <w:p w:rsidR="003B0B6F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907A76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907A76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907A76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ency level: 0 – Poor, 10 - Excellent)</w:t>
      </w:r>
    </w:p>
    <w:p w:rsidR="007B6ADA" w:rsidRPr="006A20C8" w:rsidRDefault="00907A7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907A76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907A7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2,500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Other Information</w:t>
      </w:r>
    </w:p>
    <w:p w:rsidR="009708E8" w:rsidRPr="006A20C8" w:rsidRDefault="00907A76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lastRenderedPageBreak/>
        <w:t>Dear Employer,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 have passed ACCA Level 2 and obtained an adv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ance diploma in Accounting and Business from ACCA and diploma in Digital Entertainment electronics from Republic Polytechnic.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 have had experience of preparing financial statements, GST Report, project costing account report, producing annual accounts an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d dealing with clients, suppliers, auditors and bankers. With experience of practical accounting works, I’m more confident that I will perform well in my future job.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 will treat my greatest enthusiasm into the work, and sincere, serious and responsible: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    I’m a quick learner. I completed ACCA Level 2 courses within one and half years.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    I have a strong aptitude to work under pressure and meet tight deadlines, which is evident form the fact that I’m able to deal with both daily works and adhoc du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ties.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    I’m a good team player. I had plenty of experience to work with different groups and to play a role in team leader as well as in team helper. During my studies in Republic Polytechnic, every work has to be done in the form of teams and we were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 graded by our commitment, contribution and competence in our team work.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•     I’m a good problem solver. I enjoy the challenge of identifying a problem, analyzing it and solving it. According to my past working experience, every time I encounter problems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, I feel sense of achievement by depending on myself and finding the solution.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>I would appreciate the opportunity to speak with you and demonstrate more fully about myself. Please feel free to contact me at 96113264 or e-mail me.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Thank you sincerely for </w:t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your time and consideration. I look forward to hearing from you soon.</w:t>
      </w: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907A76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907A76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907A76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907A76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907A76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907A76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907A76">
      <w:r>
        <w:separator/>
      </w:r>
    </w:p>
  </w:endnote>
  <w:endnote w:type="continuationSeparator" w:id="0">
    <w:p w:rsidR="001043F1" w:rsidRDefault="00907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0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907A76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0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907A76">
      <w:r>
        <w:separator/>
      </w:r>
    </w:p>
  </w:footnote>
  <w:footnote w:type="continuationSeparator" w:id="0">
    <w:p w:rsidR="001043F1" w:rsidRDefault="00907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07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07A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907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90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2177D-76B5-430F-A4C4-EDA33CA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3149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