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1BD4" w:rsidRDefault="00521BD4">
      <w:pPr>
        <w:pStyle w:val="WW-NormalWeb"/>
        <w:pBdr>
          <w:bottom w:val="single" w:sz="8" w:space="1" w:color="000000"/>
        </w:pBdr>
        <w:shd w:val="clear" w:color="auto" w:fill="FFFFFF"/>
        <w:jc w:val="right"/>
        <w:rPr>
          <w:rFonts w:ascii="Tahoma" w:hAnsi="Tahoma" w:cs="Tahoma"/>
          <w:color w:val="333333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i/>
          <w:color w:val="333333"/>
        </w:rPr>
        <w:t xml:space="preserve">Kalpana </w:t>
      </w:r>
    </w:p>
    <w:p w:rsidR="00521BD4" w:rsidRDefault="00521BD4">
      <w:pPr>
        <w:pStyle w:val="WW-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To the Hiring Manager,</w:t>
      </w:r>
    </w:p>
    <w:p w:rsidR="00521BD4" w:rsidRDefault="00521BD4">
      <w:pPr>
        <w:pStyle w:val="WW-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began my career in the audit field and my exposure, skills and expertise had been always with a mix variety of clientele on a wide range of different projects including preparing full set of management account, finalizing audit  report, reviewing audit report, taxation and had always ensured compliance of the accounting standards, MFRS and/or IFRS.  </w:t>
      </w:r>
    </w:p>
    <w:p w:rsidR="00521BD4" w:rsidRDefault="00521BD4">
      <w:pPr>
        <w:pStyle w:val="WW-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Currently, I am pursuing my career with Suria KLCC Sdn. Bhd., leading a team of six members in finance department and in a shared service environment. </w:t>
      </w:r>
      <w:r>
        <w:rPr>
          <w:rFonts w:ascii="Arial" w:hAnsi="Arial" w:cs="Arial"/>
          <w:sz w:val="20"/>
          <w:szCs w:val="20"/>
          <w:lang w:val="en-MY"/>
        </w:rPr>
        <w:t>A</w:t>
      </w:r>
      <w:r>
        <w:rPr>
          <w:rFonts w:ascii="Arial" w:hAnsi="Arial" w:cs="Arial"/>
          <w:sz w:val="20"/>
          <w:szCs w:val="20"/>
        </w:rPr>
        <w:t xml:space="preserve">s an </w:t>
      </w:r>
      <w:r>
        <w:rPr>
          <w:rFonts w:ascii="Arial" w:hAnsi="Arial" w:cs="Arial"/>
          <w:sz w:val="20"/>
          <w:szCs w:val="20"/>
          <w:lang w:val="en-MY"/>
        </w:rPr>
        <w:t>Assistant Finance Manager</w:t>
      </w:r>
      <w:r>
        <w:rPr>
          <w:rFonts w:ascii="Arial" w:hAnsi="Arial" w:cs="Arial"/>
          <w:sz w:val="20"/>
          <w:szCs w:val="20"/>
        </w:rPr>
        <w:t xml:space="preserve">, I have been able to utilize my accounting and reporting knowledge and skills in this corporate environment that I have acquired along my career progressions. Prior to this, I worked as a </w:t>
      </w:r>
      <w:r>
        <w:rPr>
          <w:rFonts w:ascii="Arial" w:hAnsi="Arial" w:cs="Arial"/>
          <w:sz w:val="20"/>
          <w:szCs w:val="20"/>
          <w:lang w:val="en-MY"/>
        </w:rPr>
        <w:t xml:space="preserve">Accountant in Paragon Union Berhad and main task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  <w:lang w:val="en-MY"/>
        </w:rPr>
        <w:t>ere</w:t>
      </w:r>
      <w:r>
        <w:rPr>
          <w:rFonts w:ascii="Arial" w:hAnsi="Arial" w:cs="Arial"/>
          <w:sz w:val="20"/>
          <w:szCs w:val="20"/>
        </w:rPr>
        <w:t xml:space="preserve"> daily operations in finance department, monthly reporting of management reports to</w:t>
      </w:r>
      <w:r>
        <w:rPr>
          <w:rFonts w:ascii="Arial" w:hAnsi="Arial" w:cs="Arial"/>
          <w:sz w:val="20"/>
          <w:szCs w:val="20"/>
          <w:lang w:val="en-MY"/>
        </w:rPr>
        <w:t xml:space="preserve"> owner,quarterly</w:t>
      </w:r>
      <w:r>
        <w:rPr>
          <w:rFonts w:ascii="Arial" w:hAnsi="Arial" w:cs="Arial"/>
          <w:sz w:val="20"/>
          <w:szCs w:val="20"/>
        </w:rPr>
        <w:t xml:space="preserve"> reports to Bursa Malaysia </w:t>
      </w:r>
      <w:r>
        <w:rPr>
          <w:rFonts w:ascii="Arial" w:hAnsi="Arial" w:cs="Arial"/>
          <w:sz w:val="20"/>
          <w:szCs w:val="20"/>
          <w:lang w:val="en-MY"/>
        </w:rPr>
        <w:t>together with annual reports and AGM</w:t>
      </w:r>
      <w:r>
        <w:rPr>
          <w:rFonts w:ascii="Arial" w:hAnsi="Arial" w:cs="Arial"/>
          <w:sz w:val="20"/>
          <w:szCs w:val="20"/>
        </w:rPr>
        <w:t>.</w:t>
      </w:r>
    </w:p>
    <w:p w:rsidR="00521BD4" w:rsidRDefault="00521BD4">
      <w:pPr>
        <w:pStyle w:val="WW-NormalWeb"/>
        <w:shd w:val="clear" w:color="auto" w:fill="FFFFFF"/>
        <w:jc w:val="both"/>
        <w:rPr>
          <w:rFonts w:ascii="Arial" w:hAnsi="Arial" w:cs="Arial"/>
          <w:color w:val="333333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 xml:space="preserve">Below are my brief achievements throughout my </w:t>
      </w:r>
      <w:r>
        <w:rPr>
          <w:rFonts w:ascii="Arial" w:hAnsi="Arial" w:cs="Arial"/>
          <w:sz w:val="20"/>
          <w:szCs w:val="20"/>
          <w:lang w:val="en-MY"/>
        </w:rPr>
        <w:t>twelve</w:t>
      </w:r>
      <w:r>
        <w:rPr>
          <w:rFonts w:ascii="Arial" w:hAnsi="Arial" w:cs="Arial"/>
          <w:sz w:val="20"/>
          <w:szCs w:val="20"/>
        </w:rPr>
        <w:t xml:space="preserve"> years of exposures in these organizations that I spent in my professional career: -</w:t>
      </w:r>
    </w:p>
    <w:p w:rsidR="00521BD4" w:rsidRDefault="00521BD4">
      <w:pPr>
        <w:pStyle w:val="BodyTextIndent2"/>
        <w:numPr>
          <w:ilvl w:val="0"/>
          <w:numId w:val="2"/>
        </w:numPr>
        <w:tabs>
          <w:tab w:val="clear" w:pos="720"/>
          <w:tab w:val="left" w:pos="450"/>
        </w:tabs>
        <w:snapToGrid w:val="0"/>
        <w:spacing w:after="0" w:line="100" w:lineRule="atLeast"/>
        <w:ind w:left="450" w:hanging="45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lang w:val="pt-BR"/>
        </w:rPr>
        <w:t xml:space="preserve">Suria KLCC SB.: </w:t>
      </w:r>
      <w:r>
        <w:rPr>
          <w:rFonts w:ascii="Arial" w:hAnsi="Arial" w:cs="Arial"/>
          <w:i/>
          <w:sz w:val="20"/>
          <w:szCs w:val="20"/>
        </w:rPr>
        <w:t>Coordinated and liaised with Group Tax and Group ICT for the 1</w:t>
      </w:r>
      <w:r>
        <w:rPr>
          <w:rFonts w:ascii="Arial" w:hAnsi="Arial" w:cs="Arial"/>
          <w:i/>
          <w:sz w:val="20"/>
          <w:szCs w:val="20"/>
          <w:vertAlign w:val="superscript"/>
        </w:rPr>
        <w:t>st</w:t>
      </w:r>
      <w:r>
        <w:rPr>
          <w:rFonts w:ascii="Arial" w:hAnsi="Arial" w:cs="Arial"/>
          <w:i/>
          <w:sz w:val="20"/>
          <w:szCs w:val="20"/>
        </w:rPr>
        <w:t xml:space="preserve"> submission (April’15) of GST in May’15.</w:t>
      </w:r>
    </w:p>
    <w:p w:rsidR="00521BD4" w:rsidRDefault="00521BD4">
      <w:pPr>
        <w:pStyle w:val="BodyTextIndent2"/>
        <w:numPr>
          <w:ilvl w:val="0"/>
          <w:numId w:val="2"/>
        </w:numPr>
        <w:tabs>
          <w:tab w:val="clear" w:pos="720"/>
          <w:tab w:val="left" w:pos="450"/>
        </w:tabs>
        <w:snapToGrid w:val="0"/>
        <w:spacing w:after="0" w:line="100" w:lineRule="atLeast"/>
        <w:ind w:left="450" w:hanging="45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n-MY"/>
        </w:rPr>
        <w:t>Paragon Union Bhd : Completed Annual Report ahead of deadline.</w:t>
      </w:r>
    </w:p>
    <w:p w:rsidR="00521BD4" w:rsidRDefault="00521BD4">
      <w:pPr>
        <w:pStyle w:val="WW-NormalWeb"/>
        <w:numPr>
          <w:ilvl w:val="0"/>
          <w:numId w:val="3"/>
        </w:numPr>
        <w:shd w:val="clear" w:color="auto" w:fill="FFFFFF"/>
        <w:tabs>
          <w:tab w:val="left" w:pos="450"/>
          <w:tab w:val="left" w:pos="684"/>
        </w:tabs>
        <w:spacing w:before="0" w:after="0"/>
        <w:ind w:left="426" w:hanging="426"/>
        <w:rPr>
          <w:rFonts w:ascii="Arial" w:hAnsi="Arial" w:cs="Arial"/>
          <w:color w:val="333333"/>
          <w:sz w:val="20"/>
          <w:szCs w:val="20"/>
          <w:lang w:val="pt-BR"/>
        </w:rPr>
      </w:pPr>
      <w:r>
        <w:rPr>
          <w:rFonts w:ascii="Arial" w:hAnsi="Arial" w:cs="Arial"/>
          <w:color w:val="333333"/>
          <w:sz w:val="20"/>
          <w:szCs w:val="20"/>
          <w:lang w:val="pt-BR"/>
        </w:rPr>
        <w:t xml:space="preserve">PM Securities SB: </w:t>
      </w:r>
      <w:r>
        <w:rPr>
          <w:rFonts w:ascii="Arial" w:hAnsi="Arial" w:cs="Arial"/>
          <w:i/>
          <w:color w:val="333333"/>
          <w:sz w:val="20"/>
          <w:szCs w:val="20"/>
          <w:lang w:val="pt-BR"/>
        </w:rPr>
        <w:t>Report submissions on a timely manner to regulators and Group, developed and reviewed Finance SOP, hiring of Finance team and coached the Finance team.</w:t>
      </w:r>
    </w:p>
    <w:p w:rsidR="00521BD4" w:rsidRDefault="00521BD4">
      <w:pPr>
        <w:pStyle w:val="WW-NormalWeb"/>
        <w:numPr>
          <w:ilvl w:val="0"/>
          <w:numId w:val="3"/>
        </w:numPr>
        <w:shd w:val="clear" w:color="auto" w:fill="FFFFFF"/>
        <w:tabs>
          <w:tab w:val="left" w:pos="450"/>
          <w:tab w:val="left" w:pos="684"/>
        </w:tabs>
        <w:spacing w:before="0" w:after="0"/>
        <w:ind w:left="426" w:hanging="426"/>
        <w:rPr>
          <w:rFonts w:ascii="Arial" w:hAnsi="Arial" w:cs="Arial"/>
          <w:color w:val="333333"/>
          <w:sz w:val="20"/>
          <w:szCs w:val="20"/>
          <w:lang w:val="pt-BR"/>
        </w:rPr>
      </w:pPr>
      <w:r>
        <w:rPr>
          <w:rFonts w:ascii="Arial" w:hAnsi="Arial" w:cs="Arial"/>
          <w:color w:val="333333"/>
          <w:sz w:val="20"/>
          <w:szCs w:val="20"/>
          <w:lang w:val="pt-BR"/>
        </w:rPr>
        <w:t>CIMB Aviva Assurance Bhd : P</w:t>
      </w:r>
      <w:r>
        <w:rPr>
          <w:rFonts w:ascii="Arial" w:hAnsi="Arial" w:cs="Arial"/>
          <w:i/>
          <w:color w:val="333333"/>
          <w:sz w:val="20"/>
          <w:szCs w:val="20"/>
          <w:lang w:val="pt-BR"/>
        </w:rPr>
        <w:t>articipated in business application implementation in Finance dept, involved in cost centre management to optimize cost effectiveness of the company and report submissions on a timely manner to regulators and Groups</w:t>
      </w:r>
      <w:r>
        <w:rPr>
          <w:rFonts w:ascii="Arial" w:hAnsi="Arial" w:cs="Arial"/>
          <w:color w:val="333333"/>
          <w:sz w:val="20"/>
          <w:szCs w:val="20"/>
          <w:lang w:val="pt-BR"/>
        </w:rPr>
        <w:t>.</w:t>
      </w:r>
    </w:p>
    <w:p w:rsidR="00521BD4" w:rsidRDefault="00521BD4">
      <w:pPr>
        <w:pStyle w:val="WW-NormalWeb"/>
        <w:numPr>
          <w:ilvl w:val="0"/>
          <w:numId w:val="3"/>
        </w:numPr>
        <w:shd w:val="clear" w:color="auto" w:fill="FFFFFF"/>
        <w:tabs>
          <w:tab w:val="left" w:pos="450"/>
          <w:tab w:val="left" w:pos="684"/>
        </w:tabs>
        <w:spacing w:before="0" w:after="0"/>
        <w:ind w:left="426" w:hanging="426"/>
        <w:rPr>
          <w:i/>
          <w:sz w:val="20"/>
        </w:rPr>
      </w:pPr>
      <w:r>
        <w:rPr>
          <w:rFonts w:ascii="Arial" w:hAnsi="Arial" w:cs="Arial"/>
          <w:color w:val="333333"/>
          <w:sz w:val="20"/>
          <w:szCs w:val="20"/>
          <w:lang w:val="pt-BR"/>
        </w:rPr>
        <w:t>RTR and Gomez &amp;  Co : S</w:t>
      </w:r>
      <w:r>
        <w:rPr>
          <w:rFonts w:ascii="Arial" w:hAnsi="Arial" w:cs="Arial"/>
          <w:i/>
          <w:color w:val="333333"/>
          <w:sz w:val="20"/>
          <w:szCs w:val="20"/>
          <w:lang w:val="pt-BR"/>
        </w:rPr>
        <w:t xml:space="preserve">uccessfully audited accounts for Public Listed companies, report submissions on a timely manner to regulators and clients and coached junior auditors. </w:t>
      </w:r>
    </w:p>
    <w:p w:rsidR="00521BD4" w:rsidRDefault="00521BD4">
      <w:pPr>
        <w:pStyle w:val="WW-BodyText2"/>
        <w:rPr>
          <w:i/>
          <w:sz w:val="20"/>
        </w:rPr>
      </w:pPr>
    </w:p>
    <w:p w:rsidR="00521BD4" w:rsidRDefault="00521BD4">
      <w:pPr>
        <w:pStyle w:val="WW-BodyText2"/>
        <w:rPr>
          <w:rFonts w:eastAsia="Batang"/>
          <w:sz w:val="20"/>
        </w:rPr>
      </w:pPr>
      <w:r>
        <w:rPr>
          <w:sz w:val="20"/>
        </w:rPr>
        <w:t xml:space="preserve">I am sincerely seeking for long-term career advancement in an established organization which can offer me a greater growth potential and I am confident that I can make a strong contribution towards your esteemed organization. </w:t>
      </w:r>
    </w:p>
    <w:p w:rsidR="00521BD4" w:rsidRDefault="00521BD4">
      <w:pPr>
        <w:pStyle w:val="WW-BodyText2"/>
        <w:rPr>
          <w:rFonts w:eastAsia="Batang"/>
          <w:sz w:val="20"/>
        </w:rPr>
      </w:pPr>
    </w:p>
    <w:p w:rsidR="00521BD4" w:rsidRDefault="00521BD4">
      <w:pPr>
        <w:pStyle w:val="WW-BodyText2"/>
        <w:rPr>
          <w:sz w:val="20"/>
        </w:rPr>
      </w:pPr>
      <w:r>
        <w:rPr>
          <w:color w:val="000000"/>
          <w:sz w:val="20"/>
        </w:rPr>
        <w:t>It will be indeed a pleasure to meet and discuss on your company’s requirements and how I might fulfill them based on my exposures and credentials and please do call me at your convenience at 016 6666 794.</w:t>
      </w:r>
    </w:p>
    <w:p w:rsidR="00521BD4" w:rsidRDefault="00521BD4">
      <w:pPr>
        <w:pStyle w:val="WW-BodyText2"/>
        <w:rPr>
          <w:sz w:val="20"/>
        </w:rPr>
      </w:pPr>
    </w:p>
    <w:p w:rsidR="00521BD4" w:rsidRDefault="00521BD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Annexed herewith please find </w:t>
      </w:r>
      <w:r>
        <w:rPr>
          <w:rFonts w:ascii="Arial" w:hAnsi="Arial" w:cs="Arial"/>
          <w:sz w:val="20"/>
          <w:szCs w:val="20"/>
          <w:lang w:val="en-MY"/>
        </w:rPr>
        <w:t xml:space="preserve">5 </w:t>
      </w:r>
      <w:r>
        <w:rPr>
          <w:rFonts w:ascii="Arial" w:hAnsi="Arial" w:cs="Arial"/>
          <w:sz w:val="20"/>
          <w:szCs w:val="20"/>
        </w:rPr>
        <w:t>pages of my comprehensive resume.</w:t>
      </w:r>
    </w:p>
    <w:p w:rsidR="00521BD4" w:rsidRDefault="00521BD4">
      <w:pPr>
        <w:jc w:val="both"/>
        <w:rPr>
          <w:rFonts w:ascii="Arial" w:hAnsi="Arial" w:cs="Arial"/>
          <w:sz w:val="20"/>
          <w:szCs w:val="20"/>
        </w:rPr>
      </w:pPr>
    </w:p>
    <w:p w:rsidR="00521BD4" w:rsidRDefault="00521BD4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Thanking you in advance.</w:t>
      </w:r>
    </w:p>
    <w:p w:rsidR="00521BD4" w:rsidRDefault="00521BD4">
      <w:pPr>
        <w:pStyle w:val="WW-NormalWeb"/>
        <w:shd w:val="clear" w:color="auto" w:fill="FFFFFF"/>
        <w:jc w:val="both"/>
      </w:pPr>
      <w:r>
        <w:rPr>
          <w:rFonts w:ascii="Arial" w:hAnsi="Arial" w:cs="Arial"/>
          <w:color w:val="333333"/>
          <w:sz w:val="20"/>
          <w:szCs w:val="20"/>
        </w:rPr>
        <w:t>Yours Sincerely,</w:t>
      </w:r>
    </w:p>
    <w:p w:rsidR="00521BD4" w:rsidRDefault="00521BD4">
      <w:pPr>
        <w:suppressAutoHyphens w:val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in;height:30pt;mso-position-horizontal-relative:page;mso-position-vertical-relative:page" filled="t">
            <v:fill color2="black"/>
            <v:imagedata r:id="rId5" o:title=""/>
          </v:shape>
        </w:pict>
      </w:r>
      <w:r>
        <w:rPr>
          <w:rFonts w:ascii="Arial" w:hAnsi="Arial" w:cs="Arial"/>
          <w:sz w:val="20"/>
          <w:szCs w:val="20"/>
          <w:lang w:val="pt-BR"/>
        </w:rPr>
        <w:br/>
        <w:t>Kalpana</w:t>
      </w:r>
    </w:p>
    <w:p w:rsidR="00521BD4" w:rsidRDefault="00521BD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21BD4" w:rsidRDefault="00521BD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21BD4" w:rsidRDefault="00521BD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21BD4" w:rsidRDefault="00521BD4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Kalpana Vijayan Menon</w:t>
      </w: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32, Jalan Persiaran Cuepacs 2A</w:t>
      </w: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Taman Kurnia Indah, 43000 Kajang,Selangor</w:t>
      </w: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016 6666 794 (hp) /016 6666 947 (hp)</w:t>
      </w:r>
    </w:p>
    <w:p w:rsidR="00521BD4" w:rsidRDefault="00521BD4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kalvfilez@gmail.com   </w:t>
      </w:r>
    </w:p>
    <w:p w:rsidR="00521BD4" w:rsidRDefault="00521BD4">
      <w:pPr>
        <w:jc w:val="center"/>
        <w:rPr>
          <w:rFonts w:ascii="Arial" w:hAnsi="Arial" w:cs="Arial"/>
        </w:rPr>
      </w:pPr>
    </w:p>
    <w:p w:rsidR="00521BD4" w:rsidRDefault="00521BD4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9937"/>
      </w:tblGrid>
      <w:tr w:rsidR="00521BD4">
        <w:trPr>
          <w:cantSplit/>
        </w:trPr>
        <w:tc>
          <w:tcPr>
            <w:tcW w:w="9937" w:type="dxa"/>
          </w:tcPr>
          <w:p w:rsidR="00521BD4" w:rsidRDefault="00521BD4">
            <w:pPr>
              <w:snapToGrid w:val="0"/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Immediate Goals</w:t>
            </w:r>
          </w:p>
        </w:tc>
      </w:tr>
    </w:tbl>
    <w:p w:rsidR="00521BD4" w:rsidRDefault="00521BD4"/>
    <w:p w:rsidR="00521BD4" w:rsidRDefault="00521BD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apply my knowledge and competence in an established corporate organization and grow within the firm while maintaining the financial standards as per the industry and regulators.</w:t>
      </w:r>
    </w:p>
    <w:p w:rsidR="00521BD4" w:rsidRDefault="00521BD4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consolidate my proficiency in the accounting field and play an important role to meliorate the firm’s internal process and financial reporting.</w:t>
      </w:r>
    </w:p>
    <w:p w:rsidR="00521BD4" w:rsidRDefault="00521BD4">
      <w:pPr>
        <w:jc w:val="both"/>
        <w:rPr>
          <w:rFonts w:ascii="Arial" w:hAnsi="Arial" w:cs="Arial"/>
          <w:sz w:val="20"/>
          <w:szCs w:val="20"/>
        </w:rPr>
      </w:pPr>
    </w:p>
    <w:p w:rsidR="00521BD4" w:rsidRDefault="00521BD4">
      <w:pPr>
        <w:jc w:val="both"/>
        <w:rPr>
          <w:rFonts w:ascii="Arial" w:hAnsi="Arial" w:cs="Arial"/>
          <w:b/>
          <w:i/>
          <w:sz w:val="20"/>
          <w:szCs w:val="20"/>
        </w:rPr>
      </w:pP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7"/>
      </w:tblGrid>
      <w:tr w:rsidR="00521BD4">
        <w:trPr>
          <w:cantSplit/>
        </w:trPr>
        <w:tc>
          <w:tcPr>
            <w:tcW w:w="9937" w:type="dxa"/>
          </w:tcPr>
          <w:p w:rsidR="00521BD4" w:rsidRDefault="00521BD4">
            <w:pPr>
              <w:snapToGrid w:val="0"/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Professional Experiences</w:t>
            </w:r>
          </w:p>
        </w:tc>
      </w:tr>
    </w:tbl>
    <w:p w:rsidR="00521BD4" w:rsidRDefault="00521BD4"/>
    <w:p w:rsidR="00521BD4" w:rsidRDefault="00521BD4"/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ASSISTANT FINANCE MANAGER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</w:t>
      </w:r>
      <w:r>
        <w:rPr>
          <w:rFonts w:ascii="Arial" w:eastAsia="Times New Roman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Sept 2014 till present </w:t>
      </w: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Suria KLCC Sdn. Bhd.</w:t>
      </w:r>
    </w:p>
    <w:p w:rsidR="00521BD4" w:rsidRDefault="00521BD4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(A subsidiary of KLCC Property Holdings Berhad “KLCCP”)</w:t>
      </w:r>
    </w:p>
    <w:p w:rsidR="00521BD4" w:rsidRDefault="00521BD4">
      <w:pPr>
        <w:rPr>
          <w:rFonts w:ascii="Arial" w:hAnsi="Arial" w:cs="Arial"/>
          <w:b/>
          <w:bCs/>
        </w:rPr>
      </w:pPr>
    </w:p>
    <w:p w:rsidR="00521BD4" w:rsidRDefault="00521BD4">
      <w:pPr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0"/>
        </w:rPr>
        <w:t>Current Portfolio: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the monthly management account for three shopping malls operated by Suria KLCC Sdn. Bhd. on a monthly, quarterly and yearly basis.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and analyze key fluctuations of revenue, controllable expenses, shared service expenses, gross profit margin and management fees expense of the shopping malls on a monthly and quarterly basis against budget.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MY"/>
        </w:rPr>
        <w:t>Involve in reviewing quotations received from vendors before review by Quotation Committee members based on Limit of Authority and procurement policy.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monthly, quarterly, and yearly management reports for GM of Finance, respective Centre GM and to the group.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Assist, coordinate and review budget plan prepared by the respective Centre GM and departments together with the budget presentation slides, budget pack and business plan write up.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the day to day finance operations of the respective malls which includes review purchase orders, payments approvals, bank reconciliation and receivable aging status.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weekly cashflow for fund placement to the Group to maximize return</w:t>
      </w:r>
      <w:r>
        <w:rPr>
          <w:rFonts w:ascii="Arial" w:hAnsi="Arial" w:cs="Arial"/>
          <w:sz w:val="20"/>
          <w:szCs w:val="20"/>
          <w:lang w:val="en-MY"/>
        </w:rPr>
        <w:t>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yearly and interim audits to ensure all schedules are updated and audit works runs smoothly.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audited financial statements and draft tax computations together with the notes for year end purposes.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GST tax reports and reconciliations prepared by staff before submission to the Group Tax.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 quarterly dividend management paper together with forecast profit and loss, balance sheet and cash flow. 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MY"/>
        </w:rPr>
        <w:t>Review SOP and update to the current practice.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ad hoc projects as and when required.</w:t>
      </w:r>
    </w:p>
    <w:p w:rsidR="00521BD4" w:rsidRDefault="00521BD4">
      <w:pPr>
        <w:pStyle w:val="BodyTextIndent2"/>
        <w:spacing w:after="0" w:line="100" w:lineRule="atLeast"/>
        <w:ind w:left="357"/>
        <w:jc w:val="both"/>
        <w:rPr>
          <w:rFonts w:ascii="Arial" w:hAnsi="Arial" w:cs="Arial"/>
          <w:sz w:val="20"/>
          <w:szCs w:val="20"/>
        </w:rPr>
      </w:pPr>
    </w:p>
    <w:p w:rsidR="00521BD4" w:rsidRDefault="00521BD4">
      <w:pPr>
        <w:rPr>
          <w:rFonts w:ascii="Arial" w:hAnsi="Arial" w:cs="Arial"/>
          <w:sz w:val="20"/>
          <w:szCs w:val="20"/>
        </w:rPr>
      </w:pPr>
    </w:p>
    <w:p w:rsidR="00521BD4" w:rsidRDefault="00521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Accomplishments:</w:t>
      </w:r>
    </w:p>
    <w:p w:rsidR="00521BD4" w:rsidRDefault="00521BD4">
      <w:pPr>
        <w:pStyle w:val="BodyTextIndent2"/>
        <w:numPr>
          <w:ilvl w:val="0"/>
          <w:numId w:val="2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Coordinated, assisted and liaised with Group Tax and Group ICT for the 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submission (April’15) of GST in May’15.</w:t>
      </w:r>
    </w:p>
    <w:p w:rsidR="00521BD4" w:rsidRDefault="00521BD4">
      <w:pPr>
        <w:pStyle w:val="BodyTextIndent2"/>
        <w:numPr>
          <w:ilvl w:val="0"/>
          <w:numId w:val="2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Procurement Policy, ensure set up of governance and compliance team in order to adhere which is in line to group procurement policies.</w:t>
      </w:r>
    </w:p>
    <w:p w:rsidR="00521BD4" w:rsidRDefault="00521BD4">
      <w:pPr>
        <w:pStyle w:val="BodyTextIndent2"/>
        <w:numPr>
          <w:ilvl w:val="0"/>
          <w:numId w:val="2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accounts payable </w:t>
      </w:r>
      <w:r>
        <w:rPr>
          <w:rFonts w:ascii="Arial" w:hAnsi="Arial" w:cs="Arial"/>
          <w:sz w:val="20"/>
          <w:szCs w:val="20"/>
          <w:lang w:val="en-MY"/>
        </w:rPr>
        <w:t>standard operating procedures</w:t>
      </w: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Trainings Attended:</w:t>
      </w:r>
    </w:p>
    <w:p w:rsidR="00521BD4" w:rsidRDefault="00521BD4">
      <w:pPr>
        <w:pStyle w:val="BodyTextIndent2"/>
        <w:numPr>
          <w:ilvl w:val="0"/>
          <w:numId w:val="6"/>
        </w:numPr>
        <w:tabs>
          <w:tab w:val="left" w:pos="255"/>
          <w:tab w:val="left" w:pos="270"/>
          <w:tab w:val="left" w:pos="315"/>
          <w:tab w:val="left" w:pos="675"/>
          <w:tab w:val="left" w:pos="1065"/>
        </w:tabs>
        <w:snapToGrid w:val="0"/>
        <w:spacing w:after="0" w:line="100" w:lineRule="atLeast"/>
        <w:ind w:left="810" w:hanging="46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GST implementation, treatments and recognitions organized by Ernst &amp; Young through Petronas  Group Tax.</w:t>
      </w:r>
    </w:p>
    <w:p w:rsidR="00521BD4" w:rsidRDefault="00521BD4">
      <w:pPr>
        <w:pStyle w:val="BodyTextIndent2"/>
        <w:numPr>
          <w:ilvl w:val="0"/>
          <w:numId w:val="6"/>
        </w:numPr>
        <w:tabs>
          <w:tab w:val="left" w:pos="255"/>
          <w:tab w:val="left" w:pos="270"/>
          <w:tab w:val="left" w:pos="315"/>
          <w:tab w:val="left" w:pos="675"/>
          <w:tab w:val="left" w:pos="1065"/>
        </w:tabs>
        <w:snapToGrid w:val="0"/>
        <w:spacing w:after="0" w:line="100" w:lineRule="atLeast"/>
        <w:ind w:left="570" w:hanging="2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GST awareness for shopping malls organized by TNB.</w:t>
      </w:r>
    </w:p>
    <w:p w:rsidR="00521BD4" w:rsidRDefault="00521BD4"/>
    <w:p w:rsidR="00521BD4" w:rsidRDefault="00521BD4"/>
    <w:p w:rsidR="00521BD4" w:rsidRDefault="00521BD4"/>
    <w:p w:rsidR="00521BD4" w:rsidRDefault="00521BD4"/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ACCOUNTANT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</w:t>
      </w:r>
      <w:r>
        <w:rPr>
          <w:rFonts w:ascii="Arial" w:eastAsia="Times New Roman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May 2013 till Sept 2014</w:t>
      </w: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Paragon Union Berhad</w:t>
      </w:r>
    </w:p>
    <w:p w:rsidR="00521BD4" w:rsidRDefault="00521BD4">
      <w:pPr>
        <w:rPr>
          <w:rFonts w:ascii="Arial" w:hAnsi="Arial" w:cs="Arial"/>
          <w:b/>
          <w:bCs/>
        </w:rPr>
      </w:pPr>
    </w:p>
    <w:p w:rsidR="00521BD4" w:rsidRDefault="00521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Job Scope/Responsibilities</w:t>
      </w:r>
      <w:r>
        <w:rPr>
          <w:rFonts w:ascii="Arial" w:hAnsi="Arial" w:cs="Arial"/>
          <w:i/>
          <w:iCs/>
        </w:rPr>
        <w:t>: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the group consolidated management accounts on a monthly, quarterly and yearly basis.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and analyze key fluctuations of revenue, cost of sales, gross profit margin and management expenses of the group on a monthly and quarterly basis against budget.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daily cash flow and ensure sufficient group funds available to meet LC, BA, hire purchase, payables payments and receivables.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monthly, quarterly, and yearly management reports of the group to the Finance Director.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budget plan for the group of companies.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yearly tax computation of the group of companies for the submission to Inland Revenue Board.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quarterly and yearly reports and announcements submissions to Bursa Malaysia Berhad.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monthly sales tax submissions to Jabatan Kastam Di Raja Malaysia.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monthly statistic submissions to Jabatan Statistik of Bank Negara Malaysia.</w:t>
      </w:r>
    </w:p>
    <w:p w:rsidR="00521BD4" w:rsidRDefault="00521BD4">
      <w:pPr>
        <w:pStyle w:val="BodyTextIndent2"/>
        <w:numPr>
          <w:ilvl w:val="0"/>
          <w:numId w:val="5"/>
        </w:numPr>
        <w:snapToGrid w:val="0"/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and clear the internal audit issues raised by the internal auditors on a quarterly basis.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 in risk management committee to review risk in finance department on a quarterly basis.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Review draft audit financial statement, audit schedules and tax schedules of the group of companies for year end audit. </w:t>
      </w:r>
    </w:p>
    <w:p w:rsidR="00521BD4" w:rsidRDefault="00521BD4">
      <w:pPr>
        <w:pStyle w:val="BodyTextIndent2"/>
        <w:numPr>
          <w:ilvl w:val="0"/>
          <w:numId w:val="5"/>
        </w:numPr>
        <w:spacing w:after="0" w:line="1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 in the GST implementation in the company.</w:t>
      </w:r>
    </w:p>
    <w:p w:rsidR="00521BD4" w:rsidRDefault="00521BD4">
      <w:pPr>
        <w:rPr>
          <w:rFonts w:ascii="Arial" w:hAnsi="Arial" w:cs="Arial"/>
          <w:sz w:val="20"/>
          <w:szCs w:val="20"/>
        </w:rPr>
      </w:pPr>
    </w:p>
    <w:p w:rsidR="00521BD4" w:rsidRDefault="00521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Accomplishments:</w:t>
      </w:r>
    </w:p>
    <w:p w:rsidR="00521BD4" w:rsidRDefault="00521BD4">
      <w:pPr>
        <w:pStyle w:val="BodyTextIndent2"/>
        <w:numPr>
          <w:ilvl w:val="0"/>
          <w:numId w:val="2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quarter submissions and announcements for Bursa Malaysia Berhad within the deadlines.</w:t>
      </w:r>
    </w:p>
    <w:p w:rsidR="00521BD4" w:rsidRDefault="00521BD4">
      <w:pPr>
        <w:pStyle w:val="BodyTextIndent2"/>
        <w:numPr>
          <w:ilvl w:val="0"/>
          <w:numId w:val="2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the drafted audited financial statements for YA 2013 and completed all submissions within the deadlines.</w:t>
      </w:r>
    </w:p>
    <w:p w:rsidR="00521BD4" w:rsidRDefault="00521BD4">
      <w:pPr>
        <w:pStyle w:val="BodyTextIndent2"/>
        <w:numPr>
          <w:ilvl w:val="0"/>
          <w:numId w:val="2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and completed the Annual Report 2013 together with the preparation of the upcoming AGM (Annual General Meeting)</w:t>
      </w:r>
    </w:p>
    <w:p w:rsidR="00521BD4" w:rsidRDefault="00521BD4">
      <w:pPr>
        <w:pStyle w:val="BodyTextIndent2"/>
        <w:numPr>
          <w:ilvl w:val="0"/>
          <w:numId w:val="2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tax queries and submitted tax computations, form C and R for the group of companies within the deadline.</w:t>
      </w: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Seminar/Courses Attended:</w:t>
      </w:r>
    </w:p>
    <w:p w:rsidR="00521BD4" w:rsidRDefault="00521BD4">
      <w:pPr>
        <w:pStyle w:val="BodyTextIndent2"/>
        <w:numPr>
          <w:ilvl w:val="0"/>
          <w:numId w:val="6"/>
        </w:numPr>
        <w:tabs>
          <w:tab w:val="left" w:pos="255"/>
          <w:tab w:val="left" w:pos="270"/>
          <w:tab w:val="left" w:pos="315"/>
          <w:tab w:val="left" w:pos="675"/>
          <w:tab w:val="left" w:pos="1065"/>
        </w:tabs>
        <w:snapToGrid w:val="0"/>
        <w:spacing w:after="0" w:line="100" w:lineRule="atLeast"/>
        <w:ind w:left="570" w:hanging="2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GST awareness for manufacturing industry organized by Jabatan Kastam Di Raja Malaysia.</w:t>
      </w:r>
    </w:p>
    <w:p w:rsidR="00521BD4" w:rsidRDefault="00521BD4">
      <w:pPr>
        <w:pStyle w:val="BodyTextIndent2"/>
        <w:numPr>
          <w:ilvl w:val="0"/>
          <w:numId w:val="6"/>
        </w:numPr>
        <w:tabs>
          <w:tab w:val="left" w:pos="255"/>
          <w:tab w:val="left" w:pos="270"/>
          <w:tab w:val="left" w:pos="315"/>
          <w:tab w:val="left" w:pos="675"/>
          <w:tab w:val="left" w:pos="1065"/>
        </w:tabs>
        <w:snapToGrid w:val="0"/>
        <w:spacing w:after="0" w:line="100" w:lineRule="atLeast"/>
        <w:ind w:left="570" w:hanging="2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GST awareness for automotive industry organized by Jabatan Kastam Di Raja Malaysia.</w:t>
      </w: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rPr>
          <w:rFonts w:ascii="Arial" w:hAnsi="Arial" w:cs="Arial"/>
          <w:b/>
          <w:bCs/>
        </w:rPr>
      </w:pPr>
    </w:p>
    <w:p w:rsidR="00521BD4" w:rsidRDefault="00521BD4">
      <w:pPr>
        <w:rPr>
          <w:rFonts w:ascii="Arial" w:hAnsi="Arial" w:cs="Arial"/>
          <w:b/>
          <w:bCs/>
        </w:rPr>
      </w:pP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FINANCE MANAGER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</w:t>
      </w:r>
      <w:r>
        <w:rPr>
          <w:rFonts w:ascii="Arial" w:hAnsi="Arial" w:cs="Arial"/>
          <w:b/>
          <w:bCs/>
        </w:rPr>
        <w:tab/>
        <w:t xml:space="preserve">    </w:t>
      </w:r>
      <w:r>
        <w:rPr>
          <w:rFonts w:ascii="Arial" w:eastAsia="Times New Roman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Jan 2011 to April 2013</w:t>
      </w:r>
    </w:p>
    <w:p w:rsidR="00521BD4" w:rsidRDefault="00521BD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PM Securities Sdn. Bhd. </w:t>
      </w:r>
    </w:p>
    <w:p w:rsidR="00521BD4" w:rsidRDefault="00521BD4">
      <w:pPr>
        <w:snapToGrid w:val="0"/>
        <w:spacing w:line="10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(A subsidiary of the MUI Group of Companies)</w:t>
      </w:r>
    </w:p>
    <w:p w:rsidR="00521BD4" w:rsidRDefault="00521BD4">
      <w:pPr>
        <w:snapToGrid w:val="0"/>
        <w:spacing w:line="10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(A participating organization of Bursa Malaysia Securities Berhad and holds a Universal Stock Broking status)</w:t>
      </w:r>
    </w:p>
    <w:p w:rsidR="00521BD4" w:rsidRDefault="00521BD4">
      <w:pPr>
        <w:snapToGrid w:val="0"/>
        <w:spacing w:line="100" w:lineRule="atLeast"/>
        <w:rPr>
          <w:rFonts w:ascii="Arial" w:hAnsi="Arial" w:cs="Arial"/>
          <w:b/>
          <w:bCs/>
          <w:sz w:val="20"/>
          <w:szCs w:val="20"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Job Scope/Responsibilities:</w:t>
      </w:r>
    </w:p>
    <w:p w:rsidR="00521BD4" w:rsidRDefault="00521BD4">
      <w:pPr>
        <w:pStyle w:val="BodyTextIndent2"/>
        <w:numPr>
          <w:ilvl w:val="0"/>
          <w:numId w:val="7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the consolidated management accounts including principal office and branches.</w:t>
      </w:r>
    </w:p>
    <w:p w:rsidR="00521BD4" w:rsidRDefault="00521BD4">
      <w:pPr>
        <w:pStyle w:val="BodyTextIndent2"/>
        <w:numPr>
          <w:ilvl w:val="0"/>
          <w:numId w:val="7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and analyzed management accounts together with fluctuation of management expenses of the company on a monthly basis against budget.</w:t>
      </w:r>
    </w:p>
    <w:p w:rsidR="00521BD4" w:rsidRDefault="00521BD4">
      <w:pPr>
        <w:pStyle w:val="BodyTextIndent2"/>
        <w:numPr>
          <w:ilvl w:val="0"/>
          <w:numId w:val="7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daily cash flow and ensure sufficient funds to be placed at money market and Fixed Deposit placements.</w:t>
      </w:r>
    </w:p>
    <w:p w:rsidR="00521BD4" w:rsidRDefault="00521BD4">
      <w:pPr>
        <w:pStyle w:val="BodyTextIndent2"/>
        <w:numPr>
          <w:ilvl w:val="0"/>
          <w:numId w:val="7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budget plan for the company.</w:t>
      </w:r>
    </w:p>
    <w:p w:rsidR="00521BD4" w:rsidRDefault="00521BD4">
      <w:pPr>
        <w:pStyle w:val="BodyTextIndent2"/>
        <w:numPr>
          <w:ilvl w:val="0"/>
          <w:numId w:val="7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common shared service expenses and ensure accruals of expenses are in place on a monthly basis.</w:t>
      </w:r>
    </w:p>
    <w:p w:rsidR="00521BD4" w:rsidRDefault="00521BD4">
      <w:pPr>
        <w:pStyle w:val="BodyTextIndent2"/>
        <w:numPr>
          <w:ilvl w:val="0"/>
          <w:numId w:val="7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monthly, quarterly, and yearly management reports to the CEO and MUI Group for consolidation purposes.</w:t>
      </w:r>
    </w:p>
    <w:p w:rsidR="00521BD4" w:rsidRDefault="00521BD4">
      <w:pPr>
        <w:pStyle w:val="BodyTextIndent2"/>
        <w:numPr>
          <w:ilvl w:val="0"/>
          <w:numId w:val="7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yearly notes for tax computation of the company for the submission to Inland Revenue Board.</w:t>
      </w:r>
    </w:p>
    <w:p w:rsidR="00521BD4" w:rsidRDefault="00521BD4">
      <w:pPr>
        <w:pStyle w:val="BodyTextIndent2"/>
        <w:numPr>
          <w:ilvl w:val="0"/>
          <w:numId w:val="7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daily, weekly, monthly, quarterly and yearly report submission to Bursa Malaysia, Securities Commission and Bank Negara Malaysia.</w:t>
      </w:r>
    </w:p>
    <w:p w:rsidR="00521BD4" w:rsidRDefault="00521BD4">
      <w:pPr>
        <w:pStyle w:val="BodyTextIndent2"/>
        <w:numPr>
          <w:ilvl w:val="0"/>
          <w:numId w:val="7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internal audit issues raised by the group internal auditors and issues raised by the compliance department.</w:t>
      </w: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Accomplishments:</w:t>
      </w:r>
    </w:p>
    <w:p w:rsidR="00521BD4" w:rsidRDefault="00521BD4">
      <w:pPr>
        <w:pStyle w:val="BodyTextIndent2"/>
        <w:numPr>
          <w:ilvl w:val="0"/>
          <w:numId w:val="8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yearly closing of accounts and submitted audited accounts and completed the form C and R within the deadline.</w:t>
      </w:r>
    </w:p>
    <w:p w:rsidR="00521BD4" w:rsidRDefault="00521BD4">
      <w:pPr>
        <w:pStyle w:val="BodyTextIndent2"/>
        <w:numPr>
          <w:ilvl w:val="0"/>
          <w:numId w:val="8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submissions to group and regulatory met within the deadlines.</w:t>
      </w:r>
    </w:p>
    <w:p w:rsidR="00521BD4" w:rsidRDefault="00521BD4">
      <w:pPr>
        <w:pStyle w:val="BodyTextIndent2"/>
        <w:numPr>
          <w:ilvl w:val="0"/>
          <w:numId w:val="8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Reviewed finance standard operating procedures and update it to the current practice of the company.</w:t>
      </w:r>
    </w:p>
    <w:p w:rsidR="00521BD4" w:rsidRDefault="00521BD4">
      <w:pPr>
        <w:pStyle w:val="BodyTextIndent2"/>
        <w:numPr>
          <w:ilvl w:val="0"/>
          <w:numId w:val="8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the Risk Management Committee to review risk of Finance department.</w:t>
      </w:r>
    </w:p>
    <w:p w:rsidR="00521BD4" w:rsidRDefault="00521BD4">
      <w:pPr>
        <w:pStyle w:val="BodyTextIndent2"/>
        <w:numPr>
          <w:ilvl w:val="0"/>
          <w:numId w:val="8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Cleared backlog internal audit issues raised by the group internal auditors.</w:t>
      </w: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pStyle w:val="BodyTextIndent2"/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SENIOR FINANCE EXECUTIVE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eastAsia="Times New Roman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Apr 2009 to Jan 2011</w:t>
      </w: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(Management Reporting Unit)</w:t>
      </w: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CIMB Aviva Assurance Berhad.( Now known as Sun Life Malaysia)</w:t>
      </w:r>
    </w:p>
    <w:p w:rsidR="00521BD4" w:rsidRDefault="00521BD4">
      <w:pPr>
        <w:rPr>
          <w:rFonts w:ascii="Arial" w:hAnsi="Arial" w:cs="Arial"/>
          <w:b/>
          <w:bCs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Job Scope/Responsibilities:</w:t>
      </w:r>
    </w:p>
    <w:p w:rsidR="00521BD4" w:rsidRDefault="00521BD4">
      <w:pPr>
        <w:pStyle w:val="BodyTextIndent2"/>
        <w:numPr>
          <w:ilvl w:val="0"/>
          <w:numId w:val="9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closing of management account and prepared the management report. </w:t>
      </w:r>
    </w:p>
    <w:p w:rsidR="00521BD4" w:rsidRDefault="00521BD4">
      <w:pPr>
        <w:pStyle w:val="BodyTextIndent2"/>
        <w:numPr>
          <w:ilvl w:val="0"/>
          <w:numId w:val="9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Maintained, reviewed and analyzed fluctuation of management expenses of the company on a monthly basis.</w:t>
      </w:r>
    </w:p>
    <w:p w:rsidR="00521BD4" w:rsidRDefault="00521BD4">
      <w:pPr>
        <w:pStyle w:val="BodyTextIndent2"/>
        <w:numPr>
          <w:ilvl w:val="0"/>
          <w:numId w:val="9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accruals of expenses are in place on a monthly basis.</w:t>
      </w:r>
    </w:p>
    <w:p w:rsidR="00521BD4" w:rsidRDefault="00521BD4">
      <w:pPr>
        <w:pStyle w:val="BodyTextIndent2"/>
        <w:numPr>
          <w:ilvl w:val="0"/>
          <w:numId w:val="9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monthly ,quarterly, and yearly reporting to the Asia Pacific Regional Office (APRO)</w:t>
      </w:r>
    </w:p>
    <w:p w:rsidR="00521BD4" w:rsidRDefault="00521BD4">
      <w:pPr>
        <w:pStyle w:val="BodyTextIndent2"/>
        <w:numPr>
          <w:ilvl w:val="0"/>
          <w:numId w:val="9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monthly, quarterly and yearly reporting to CIMB Group for consolidation purposes.</w:t>
      </w:r>
    </w:p>
    <w:p w:rsidR="00521BD4" w:rsidRDefault="00521BD4">
      <w:pPr>
        <w:pStyle w:val="BodyTextIndent2"/>
        <w:numPr>
          <w:ilvl w:val="0"/>
          <w:numId w:val="9"/>
        </w:numPr>
        <w:snapToGrid w:val="0"/>
        <w:spacing w:after="0" w:line="100" w:lineRule="atLeast"/>
        <w:rPr>
          <w:rFonts w:ascii="Arial" w:hAnsi="Arial" w:cs="Arial"/>
          <w:i/>
          <w:iCs/>
        </w:rPr>
      </w:pPr>
      <w:r>
        <w:rPr>
          <w:rFonts w:ascii="Arial" w:hAnsi="Arial" w:cs="Arial"/>
          <w:sz w:val="20"/>
          <w:szCs w:val="20"/>
        </w:rPr>
        <w:t>Prepared budget plan of expenses for the company, advised/assisted operation team on payments process and monitored shared service expenses on a monthly basis.</w:t>
      </w:r>
    </w:p>
    <w:p w:rsidR="00521BD4" w:rsidRDefault="00521BD4">
      <w:pPr>
        <w:snapToGrid w:val="0"/>
        <w:spacing w:line="100" w:lineRule="atLeast"/>
        <w:rPr>
          <w:rFonts w:ascii="Arial" w:hAnsi="Arial" w:cs="Arial"/>
          <w:i/>
          <w:iCs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Accomplishments:</w:t>
      </w:r>
    </w:p>
    <w:p w:rsidR="00521BD4" w:rsidRDefault="00521BD4">
      <w:pPr>
        <w:pStyle w:val="BodyTextIndent2"/>
        <w:numPr>
          <w:ilvl w:val="0"/>
          <w:numId w:val="10"/>
        </w:numPr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implementation of Oracle accounting system and U.A.T (User Acceptance Test) at start.</w:t>
      </w:r>
    </w:p>
    <w:p w:rsidR="00521BD4" w:rsidRDefault="00521BD4">
      <w:pPr>
        <w:pStyle w:val="BodyTextIndent2"/>
        <w:numPr>
          <w:ilvl w:val="0"/>
          <w:numId w:val="10"/>
        </w:numPr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conversion and customization of reports of Apro (Asia Pacific Regional Office) into Oracle as a secondary ledger in Oracle accounting system.</w:t>
      </w:r>
    </w:p>
    <w:p w:rsidR="00521BD4" w:rsidRDefault="00521BD4">
      <w:pPr>
        <w:pStyle w:val="BodyTextIndent2"/>
        <w:numPr>
          <w:ilvl w:val="0"/>
          <w:numId w:val="10"/>
        </w:numPr>
        <w:spacing w:after="0" w:line="100" w:lineRule="atLeast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Kicked start Cost Center Management proposed by the Financial Controller. </w:t>
      </w:r>
    </w:p>
    <w:p w:rsidR="00521BD4" w:rsidRDefault="00521BD4">
      <w:pPr>
        <w:pStyle w:val="BodyTextIndent2"/>
        <w:tabs>
          <w:tab w:val="left" w:pos="885"/>
        </w:tabs>
        <w:snapToGrid w:val="0"/>
        <w:spacing w:after="0" w:line="100" w:lineRule="atLeast"/>
        <w:ind w:left="720" w:hanging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●    </w:t>
      </w:r>
      <w:r>
        <w:rPr>
          <w:rFonts w:ascii="Arial" w:hAnsi="Arial" w:cs="Arial"/>
          <w:sz w:val="20"/>
          <w:szCs w:val="20"/>
        </w:rPr>
        <w:t>Objective: Ensured management expenses are reflected/flow correctly into the accounts. This is to enhance the control of management expenses in departments and to monitor against the budget plan.</w:t>
      </w:r>
    </w:p>
    <w:p w:rsidR="00521BD4" w:rsidRDefault="00521BD4">
      <w:pPr>
        <w:snapToGrid w:val="0"/>
        <w:spacing w:line="100" w:lineRule="atLeast"/>
        <w:rPr>
          <w:rFonts w:ascii="Arial" w:hAnsi="Arial" w:cs="Arial"/>
          <w:i/>
          <w:iCs/>
          <w:sz w:val="20"/>
          <w:szCs w:val="20"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Courses Attended:</w:t>
      </w:r>
    </w:p>
    <w:p w:rsidR="00521BD4" w:rsidRDefault="00521BD4">
      <w:pPr>
        <w:pStyle w:val="BodyTextIndent2"/>
        <w:numPr>
          <w:ilvl w:val="0"/>
          <w:numId w:val="11"/>
        </w:numPr>
        <w:snapToGrid w:val="0"/>
        <w:spacing w:after="0" w:line="1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 Team Power – Team Building Training   </w:t>
      </w:r>
    </w:p>
    <w:p w:rsidR="00521BD4" w:rsidRDefault="00521BD4">
      <w:pPr>
        <w:pStyle w:val="BodyTextIndent2"/>
        <w:numPr>
          <w:ilvl w:val="0"/>
          <w:numId w:val="11"/>
        </w:numPr>
        <w:snapToGrid w:val="0"/>
        <w:spacing w:after="0" w:line="1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Coaching people towards service excellence program</w:t>
      </w:r>
    </w:p>
    <w:p w:rsidR="00521BD4" w:rsidRDefault="00521BD4">
      <w:pPr>
        <w:pStyle w:val="BodyTextIndent2"/>
        <w:numPr>
          <w:ilvl w:val="0"/>
          <w:numId w:val="11"/>
        </w:numPr>
        <w:snapToGrid w:val="0"/>
        <w:spacing w:after="0" w:line="1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FRS 139 Financial Instruments: Recognition and Measurement  </w:t>
      </w:r>
    </w:p>
    <w:p w:rsidR="00521BD4" w:rsidRDefault="00521BD4">
      <w:pPr>
        <w:pStyle w:val="BodyTextIndent2"/>
        <w:numPr>
          <w:ilvl w:val="0"/>
          <w:numId w:val="11"/>
        </w:numPr>
        <w:snapToGrid w:val="0"/>
        <w:spacing w:after="0" w:line="1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FRS 4 Insurance Contract</w:t>
      </w:r>
    </w:p>
    <w:p w:rsidR="00521BD4" w:rsidRDefault="00521BD4">
      <w:pPr>
        <w:pStyle w:val="BodyTextIndent2"/>
        <w:numPr>
          <w:ilvl w:val="0"/>
          <w:numId w:val="11"/>
        </w:numPr>
        <w:snapToGrid w:val="0"/>
        <w:spacing w:after="0" w:line="100" w:lineRule="atLeas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FRS 7 Financial Instrument : Disclosures</w:t>
      </w:r>
    </w:p>
    <w:p w:rsidR="00521BD4" w:rsidRDefault="00521BD4">
      <w:pPr>
        <w:pStyle w:val="BodyTextIndent2"/>
        <w:spacing w:after="0" w:line="100" w:lineRule="atLeast"/>
        <w:ind w:left="357" w:hanging="360"/>
        <w:rPr>
          <w:rFonts w:ascii="Arial" w:hAnsi="Arial" w:cs="Arial"/>
          <w:i/>
          <w:iCs/>
          <w:sz w:val="20"/>
          <w:szCs w:val="20"/>
        </w:rPr>
      </w:pPr>
    </w:p>
    <w:p w:rsidR="00521BD4" w:rsidRDefault="00521BD4">
      <w:pPr>
        <w:pStyle w:val="BodyTextIndent2"/>
        <w:spacing w:after="0" w:line="100" w:lineRule="atLeast"/>
        <w:ind w:left="357" w:hanging="360"/>
        <w:rPr>
          <w:rFonts w:ascii="Arial" w:hAnsi="Arial" w:cs="Arial"/>
          <w:i/>
          <w:iCs/>
          <w:sz w:val="20"/>
          <w:szCs w:val="20"/>
        </w:rPr>
      </w:pPr>
    </w:p>
    <w:p w:rsidR="00521BD4" w:rsidRDefault="00521BD4">
      <w:pPr>
        <w:pStyle w:val="BodyTextIndent2"/>
        <w:spacing w:after="0" w:line="100" w:lineRule="atLeast"/>
        <w:ind w:left="357" w:hanging="360"/>
        <w:rPr>
          <w:rFonts w:ascii="Arial" w:hAnsi="Arial" w:cs="Arial"/>
          <w:i/>
          <w:iCs/>
          <w:sz w:val="20"/>
          <w:szCs w:val="20"/>
        </w:rPr>
      </w:pP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SENIOR AUDITOR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</w:t>
      </w:r>
      <w:r>
        <w:rPr>
          <w:rFonts w:ascii="Arial" w:eastAsia="Times New Roman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July 2007 to Mar 2009</w:t>
      </w:r>
      <w:r>
        <w:rPr>
          <w:rFonts w:ascii="Arial" w:hAnsi="Arial" w:cs="Arial"/>
          <w:b/>
          <w:bCs/>
        </w:rPr>
        <w:tab/>
      </w:r>
    </w:p>
    <w:p w:rsidR="00521BD4" w:rsidRDefault="00521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Raki Thomas and Ramanan</w:t>
      </w: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Job Scope/Responsibilities</w:t>
      </w:r>
      <w:r>
        <w:rPr>
          <w:rFonts w:ascii="Arial" w:hAnsi="Arial" w:cs="Arial"/>
          <w:i/>
          <w:iCs/>
        </w:rPr>
        <w:t>:</w:t>
      </w:r>
    </w:p>
    <w:p w:rsidR="00521BD4" w:rsidRDefault="00521BD4">
      <w:pPr>
        <w:pStyle w:val="BodyTextIndent2"/>
        <w:numPr>
          <w:ilvl w:val="0"/>
          <w:numId w:val="3"/>
        </w:numPr>
        <w:tabs>
          <w:tab w:val="left" w:pos="607"/>
          <w:tab w:val="left" w:pos="684"/>
        </w:tabs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a group of staff (4 to 5) in various types of industries audit including public listed companies, finalizing the audit report and financial statement (interim and final)</w:t>
      </w:r>
    </w:p>
    <w:p w:rsidR="00521BD4" w:rsidRDefault="00521BD4">
      <w:pPr>
        <w:pStyle w:val="BodyTextIndent2"/>
        <w:numPr>
          <w:ilvl w:val="0"/>
          <w:numId w:val="3"/>
        </w:numPr>
        <w:tabs>
          <w:tab w:val="left" w:pos="607"/>
          <w:tab w:val="left" w:pos="684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consolidated accounts and segment reporting for reporting purpose and audited financial reports.</w:t>
      </w:r>
    </w:p>
    <w:p w:rsidR="00521BD4" w:rsidRDefault="00521BD4">
      <w:pPr>
        <w:pStyle w:val="BodyTextIndent2"/>
        <w:numPr>
          <w:ilvl w:val="0"/>
          <w:numId w:val="3"/>
        </w:numPr>
        <w:tabs>
          <w:tab w:val="left" w:pos="607"/>
          <w:tab w:val="left" w:pos="684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Assessed accounting principles and estimation used by clients in preparing financial statements and ensured in compliance of FRS and PERS.</w:t>
      </w:r>
    </w:p>
    <w:p w:rsidR="00521BD4" w:rsidRDefault="00521BD4">
      <w:pPr>
        <w:pStyle w:val="BodyTextIndent2"/>
        <w:numPr>
          <w:ilvl w:val="0"/>
          <w:numId w:val="3"/>
        </w:numPr>
        <w:tabs>
          <w:tab w:val="left" w:pos="607"/>
          <w:tab w:val="left" w:pos="684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audited financial statements, tax computations, Form C and R to clients.</w:t>
      </w:r>
    </w:p>
    <w:p w:rsidR="00521BD4" w:rsidRDefault="00521BD4">
      <w:pPr>
        <w:pStyle w:val="BodyTextIndent2"/>
        <w:numPr>
          <w:ilvl w:val="0"/>
          <w:numId w:val="3"/>
        </w:numPr>
        <w:tabs>
          <w:tab w:val="left" w:pos="607"/>
          <w:tab w:val="left" w:pos="684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timely preparation and submission of audited financial statements to Registrar of Companies and tax agents.</w:t>
      </w:r>
    </w:p>
    <w:p w:rsidR="00521BD4" w:rsidRDefault="00521BD4">
      <w:pPr>
        <w:pStyle w:val="BodyTextIndent2"/>
        <w:tabs>
          <w:tab w:val="left" w:pos="607"/>
        </w:tabs>
        <w:spacing w:after="0"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Accomplishments:</w:t>
      </w:r>
    </w:p>
    <w:p w:rsidR="00521BD4" w:rsidRDefault="00521BD4">
      <w:pPr>
        <w:pStyle w:val="BodyTextIndent2"/>
        <w:numPr>
          <w:ilvl w:val="0"/>
          <w:numId w:val="12"/>
        </w:numPr>
        <w:tabs>
          <w:tab w:val="left" w:pos="607"/>
          <w:tab w:val="left" w:pos="684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 tight deadlines, especially during the peak period of May- July and December - January.</w:t>
      </w:r>
    </w:p>
    <w:p w:rsidR="00521BD4" w:rsidRDefault="00521BD4">
      <w:pPr>
        <w:pStyle w:val="BodyTextIndent2"/>
        <w:numPr>
          <w:ilvl w:val="0"/>
          <w:numId w:val="12"/>
        </w:numPr>
        <w:tabs>
          <w:tab w:val="left" w:pos="600"/>
          <w:tab w:val="left" w:pos="684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case of auditing subsidiary of an overseas company, managing, followed strict guidelines and tight schedules.</w:t>
      </w:r>
    </w:p>
    <w:p w:rsidR="00521BD4" w:rsidRDefault="00521BD4">
      <w:pPr>
        <w:pStyle w:val="BodyTextIndent2"/>
        <w:numPr>
          <w:ilvl w:val="0"/>
          <w:numId w:val="12"/>
        </w:numPr>
        <w:tabs>
          <w:tab w:val="left" w:pos="607"/>
          <w:tab w:val="left" w:pos="684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in upgrading the firm’s library and equipped it with essential reading materials and latest technical knowledge for staff.</w:t>
      </w:r>
    </w:p>
    <w:p w:rsidR="00521BD4" w:rsidRDefault="00521BD4">
      <w:pPr>
        <w:pStyle w:val="BodyTextIndent2"/>
        <w:numPr>
          <w:ilvl w:val="0"/>
          <w:numId w:val="12"/>
        </w:numPr>
        <w:tabs>
          <w:tab w:val="left" w:pos="607"/>
          <w:tab w:val="left" w:pos="684"/>
        </w:tabs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Organized training session for junior staff and prepared training material for trainer.</w:t>
      </w:r>
    </w:p>
    <w:p w:rsidR="00521BD4" w:rsidRDefault="00521BD4">
      <w:pPr>
        <w:pStyle w:val="BodyTextIndent2"/>
        <w:tabs>
          <w:tab w:val="left" w:pos="681"/>
        </w:tabs>
        <w:snapToGrid w:val="0"/>
        <w:spacing w:after="0" w:line="100" w:lineRule="atLeast"/>
        <w:ind w:left="357" w:hanging="360"/>
        <w:rPr>
          <w:rFonts w:ascii="Arial" w:hAnsi="Arial" w:cs="Arial"/>
          <w:sz w:val="20"/>
          <w:szCs w:val="20"/>
        </w:rPr>
      </w:pPr>
    </w:p>
    <w:p w:rsidR="00521BD4" w:rsidRDefault="00521BD4">
      <w:pPr>
        <w:tabs>
          <w:tab w:val="left" w:pos="681"/>
        </w:tabs>
        <w:snapToGrid w:val="0"/>
        <w:spacing w:line="100" w:lineRule="atLeast"/>
        <w:ind w:left="357" w:hanging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sz w:val="20"/>
          <w:szCs w:val="20"/>
        </w:rPr>
        <w:t>Courses Attended</w:t>
      </w:r>
      <w:r>
        <w:rPr>
          <w:rFonts w:ascii="Arial" w:hAnsi="Arial" w:cs="Arial"/>
          <w:i/>
          <w:iCs/>
        </w:rPr>
        <w:t>:</w:t>
      </w:r>
    </w:p>
    <w:p w:rsidR="00521BD4" w:rsidRDefault="00521BD4">
      <w:pPr>
        <w:tabs>
          <w:tab w:val="left" w:pos="681"/>
        </w:tabs>
        <w:snapToGrid w:val="0"/>
        <w:spacing w:line="100" w:lineRule="atLeast"/>
        <w:ind w:left="357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</w:rPr>
        <w:t xml:space="preserve"> </w:t>
      </w:r>
      <w:r>
        <w:rPr>
          <w:rFonts w:ascii="Arial" w:eastAsia="Times New Roman" w:hAnsi="Arial" w:cs="Arial"/>
          <w:i/>
          <w:iCs/>
        </w:rPr>
        <w:t xml:space="preserve">● </w:t>
      </w:r>
      <w:r>
        <w:rPr>
          <w:rFonts w:ascii="Arial" w:hAnsi="Arial" w:cs="Arial"/>
          <w:sz w:val="20"/>
          <w:szCs w:val="20"/>
        </w:rPr>
        <w:t>Risk Based Auditing by MICPA (Malaysian Institute of Certified Public Accountants)</w:t>
      </w:r>
    </w:p>
    <w:p w:rsidR="00521BD4" w:rsidRDefault="00521BD4">
      <w:pPr>
        <w:tabs>
          <w:tab w:val="left" w:pos="681"/>
        </w:tabs>
        <w:snapToGrid w:val="0"/>
        <w:spacing w:line="100" w:lineRule="atLeast"/>
        <w:ind w:left="357" w:hanging="360"/>
        <w:rPr>
          <w:rFonts w:ascii="Arial" w:hAnsi="Arial" w:cs="Arial"/>
          <w:sz w:val="20"/>
          <w:szCs w:val="20"/>
        </w:rPr>
      </w:pPr>
    </w:p>
    <w:p w:rsidR="00521BD4" w:rsidRDefault="00521B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AUDITOR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  </w:t>
      </w:r>
      <w:r>
        <w:rPr>
          <w:rFonts w:ascii="Arial" w:eastAsia="Times New Roman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July 2005 to June 2007</w:t>
      </w:r>
    </w:p>
    <w:p w:rsidR="00521BD4" w:rsidRDefault="00521BD4">
      <w:pPr>
        <w:tabs>
          <w:tab w:val="left" w:pos="681"/>
        </w:tabs>
        <w:snapToGrid w:val="0"/>
        <w:spacing w:line="100" w:lineRule="atLeast"/>
        <w:ind w:left="357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Gomez and Co (A member of Alliot Group)</w:t>
      </w:r>
    </w:p>
    <w:p w:rsidR="00521BD4" w:rsidRDefault="00521BD4">
      <w:pPr>
        <w:tabs>
          <w:tab w:val="left" w:pos="681"/>
        </w:tabs>
        <w:snapToGrid w:val="0"/>
        <w:spacing w:line="100" w:lineRule="atLeast"/>
        <w:ind w:left="357" w:hanging="360"/>
        <w:rPr>
          <w:rFonts w:ascii="Arial" w:hAnsi="Arial" w:cs="Arial"/>
          <w:b/>
          <w:bCs/>
        </w:rPr>
      </w:pPr>
    </w:p>
    <w:p w:rsidR="00521BD4" w:rsidRDefault="00521BD4">
      <w:pPr>
        <w:tabs>
          <w:tab w:val="left" w:pos="681"/>
        </w:tabs>
        <w:snapToGrid w:val="0"/>
        <w:spacing w:line="100" w:lineRule="atLeast"/>
        <w:ind w:left="357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Job Scope/Responsibilities:</w:t>
      </w:r>
    </w:p>
    <w:p w:rsidR="00521BD4" w:rsidRDefault="00521BD4">
      <w:pPr>
        <w:pStyle w:val="BodyTextIndent2"/>
        <w:numPr>
          <w:ilvl w:val="0"/>
          <w:numId w:val="13"/>
        </w:numPr>
        <w:tabs>
          <w:tab w:val="left" w:pos="607"/>
          <w:tab w:val="left" w:pos="657"/>
        </w:tabs>
        <w:snapToGrid w:val="0"/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a group of staff (4 to 5) in various types of industries audit , finalizing the audit report and financial statement (interim and final)</w:t>
      </w:r>
    </w:p>
    <w:p w:rsidR="00521BD4" w:rsidRDefault="00521BD4">
      <w:pPr>
        <w:pStyle w:val="BodyText"/>
        <w:numPr>
          <w:ilvl w:val="0"/>
          <w:numId w:val="13"/>
        </w:numPr>
        <w:tabs>
          <w:tab w:val="left" w:pos="324"/>
          <w:tab w:val="left" w:pos="657"/>
        </w:tabs>
        <w:snapToGri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complete management account for small and medium companies inclusive of other relevant reports/schedules for audit purpose.</w:t>
      </w:r>
    </w:p>
    <w:p w:rsidR="00521BD4" w:rsidRDefault="00521BD4">
      <w:pPr>
        <w:pStyle w:val="BodyText"/>
        <w:numPr>
          <w:ilvl w:val="0"/>
          <w:numId w:val="13"/>
        </w:numPr>
        <w:tabs>
          <w:tab w:val="left" w:pos="324"/>
          <w:tab w:val="left" w:pos="657"/>
        </w:tabs>
        <w:snapToGri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Statutory audit, write up audit working papers together with  the audit report to be submitted to Audit Supervisor or Audit Manager for review.</w:t>
      </w:r>
    </w:p>
    <w:p w:rsidR="00521BD4" w:rsidRDefault="00521BD4">
      <w:pPr>
        <w:numPr>
          <w:ilvl w:val="0"/>
          <w:numId w:val="13"/>
        </w:numPr>
        <w:tabs>
          <w:tab w:val="left" w:pos="324"/>
          <w:tab w:val="left" w:pos="65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analytical review by using appropriate ratio analysis and discussed with client any significant fluctuations or inappropriate ratios from calculations done.</w:t>
      </w:r>
    </w:p>
    <w:p w:rsidR="00521BD4" w:rsidRDefault="00521BD4">
      <w:pPr>
        <w:numPr>
          <w:ilvl w:val="0"/>
          <w:numId w:val="13"/>
        </w:numPr>
        <w:tabs>
          <w:tab w:val="left" w:pos="324"/>
          <w:tab w:val="left" w:pos="657"/>
        </w:tabs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audited financial statements to be sent to clients, Registrar of Companies and tax agents.</w:t>
      </w:r>
    </w:p>
    <w:p w:rsidR="00521BD4" w:rsidRDefault="00521BD4">
      <w:pPr>
        <w:tabs>
          <w:tab w:val="left" w:pos="324"/>
        </w:tabs>
        <w:snapToGrid w:val="0"/>
        <w:spacing w:line="100" w:lineRule="atLeast"/>
        <w:rPr>
          <w:rFonts w:ascii="Arial" w:hAnsi="Arial" w:cs="Arial"/>
          <w:sz w:val="20"/>
          <w:szCs w:val="20"/>
        </w:rPr>
      </w:pPr>
    </w:p>
    <w:p w:rsidR="00521BD4" w:rsidRDefault="00521BD4">
      <w:pPr>
        <w:tabs>
          <w:tab w:val="left" w:pos="324"/>
        </w:tabs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Accomplishments:</w:t>
      </w:r>
    </w:p>
    <w:p w:rsidR="00521BD4" w:rsidRDefault="00521BD4">
      <w:pPr>
        <w:numPr>
          <w:ilvl w:val="0"/>
          <w:numId w:val="14"/>
        </w:numPr>
        <w:tabs>
          <w:tab w:val="left" w:pos="324"/>
          <w:tab w:val="left" w:pos="720"/>
        </w:tabs>
        <w:snapToGri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a group of junior staff (2 or 3) in auditing medium and large   sized companies in various industries such as construction, property developer, engineering, information technology, and trading.</w:t>
      </w:r>
    </w:p>
    <w:p w:rsidR="00521BD4" w:rsidRDefault="00521BD4">
      <w:pPr>
        <w:numPr>
          <w:ilvl w:val="0"/>
          <w:numId w:val="14"/>
        </w:numPr>
        <w:tabs>
          <w:tab w:val="left" w:pos="324"/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 tight deadlines, especially during the peak period of May- July and December - January.</w:t>
      </w:r>
    </w:p>
    <w:p w:rsidR="00521BD4" w:rsidRDefault="00521BD4">
      <w:pPr>
        <w:numPr>
          <w:ilvl w:val="0"/>
          <w:numId w:val="14"/>
        </w:numPr>
        <w:tabs>
          <w:tab w:val="left" w:pos="324"/>
          <w:tab w:val="left" w:pos="720"/>
        </w:tabs>
        <w:snapToGrid w:val="0"/>
        <w:spacing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a group of staff in government entity audits, which involved traveling, procedures and timely reports.</w:t>
      </w:r>
    </w:p>
    <w:p w:rsidR="00521BD4" w:rsidRDefault="00521BD4">
      <w:pPr>
        <w:tabs>
          <w:tab w:val="left" w:pos="324"/>
        </w:tabs>
        <w:snapToGrid w:val="0"/>
        <w:spacing w:line="100" w:lineRule="atLeast"/>
        <w:ind w:left="720"/>
        <w:rPr>
          <w:rFonts w:ascii="Arial" w:hAnsi="Arial" w:cs="Arial"/>
          <w:sz w:val="20"/>
          <w:szCs w:val="20"/>
        </w:rPr>
      </w:pPr>
    </w:p>
    <w:p w:rsidR="00521BD4" w:rsidRDefault="00521BD4">
      <w:pPr>
        <w:tabs>
          <w:tab w:val="left" w:pos="324"/>
        </w:tabs>
        <w:snapToGrid w:val="0"/>
        <w:spacing w:line="100" w:lineRule="atLeast"/>
        <w:ind w:left="7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9937"/>
      </w:tblGrid>
      <w:tr w:rsidR="00521BD4">
        <w:trPr>
          <w:cantSplit/>
        </w:trPr>
        <w:tc>
          <w:tcPr>
            <w:tcW w:w="9937" w:type="dxa"/>
          </w:tcPr>
          <w:p w:rsidR="00521BD4" w:rsidRDefault="00521BD4">
            <w:pPr>
              <w:snapToGrid w:val="0"/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Academic Achievements</w:t>
            </w:r>
          </w:p>
        </w:tc>
      </w:tr>
    </w:tbl>
    <w:p w:rsidR="00521BD4" w:rsidRDefault="00521BD4"/>
    <w:p w:rsidR="00521BD4" w:rsidRDefault="00521BD4">
      <w:pPr>
        <w:numPr>
          <w:ilvl w:val="0"/>
          <w:numId w:val="1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Chartered Accountant C.A (M) </w:t>
      </w:r>
      <w:r>
        <w:rPr>
          <w:rFonts w:ascii="Arial" w:hAnsi="Arial" w:cs="Arial"/>
          <w:i/>
          <w:sz w:val="20"/>
          <w:szCs w:val="20"/>
        </w:rPr>
        <w:t>(Member no :37676)</w:t>
      </w:r>
    </w:p>
    <w:p w:rsidR="00521BD4" w:rsidRDefault="00521B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(Member of Malaysian Institute of Accountants,July 2014)</w:t>
      </w:r>
    </w:p>
    <w:p w:rsidR="00521BD4" w:rsidRDefault="00521BD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Fellow of Chartered Certified Accountants (FCCA) </w:t>
      </w:r>
      <w:r>
        <w:rPr>
          <w:rFonts w:ascii="Arial" w:hAnsi="Arial" w:cs="Arial"/>
          <w:bCs/>
          <w:i/>
          <w:sz w:val="20"/>
          <w:szCs w:val="20"/>
        </w:rPr>
        <w:t>(Member no:0626262)</w:t>
      </w:r>
    </w:p>
    <w:p w:rsidR="00521BD4" w:rsidRDefault="00521BD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(Attained fellowship, Nov 2013)</w:t>
      </w:r>
    </w:p>
    <w:p w:rsidR="00521BD4" w:rsidRDefault="00521BD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Association of Chartered Certified Accountants (ACCA)</w:t>
      </w:r>
    </w:p>
    <w:p w:rsidR="00521BD4" w:rsidRDefault="00521BD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(Attained membership, Sept 2008)</w:t>
      </w:r>
    </w:p>
    <w:p w:rsidR="00521BD4" w:rsidRDefault="00521BD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Association of Chartered Certified Accountants (ACCA)</w:t>
      </w:r>
    </w:p>
    <w:p w:rsidR="00521BD4" w:rsidRDefault="00521BD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(Affiliate member, Aug 2008)</w:t>
      </w:r>
    </w:p>
    <w:p w:rsidR="00521BD4" w:rsidRDefault="00521BD4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PAAC College </w:t>
      </w:r>
      <w:r>
        <w:rPr>
          <w:rFonts w:ascii="Arial" w:hAnsi="Arial" w:cs="Arial"/>
          <w:sz w:val="20"/>
          <w:szCs w:val="20"/>
        </w:rPr>
        <w:t xml:space="preserve">(Professional Advancement and Achievement Center) and </w:t>
      </w:r>
      <w:r>
        <w:rPr>
          <w:rFonts w:ascii="Arial" w:hAnsi="Arial" w:cs="Arial"/>
          <w:b/>
          <w:bCs/>
          <w:sz w:val="20"/>
          <w:szCs w:val="20"/>
        </w:rPr>
        <w:t xml:space="preserve">FTMS </w:t>
      </w:r>
      <w:r>
        <w:rPr>
          <w:rFonts w:ascii="Arial" w:hAnsi="Arial" w:cs="Arial"/>
          <w:sz w:val="20"/>
          <w:szCs w:val="20"/>
        </w:rPr>
        <w:t>School of Professional Accounting and Finance, Kuala Lumpur</w:t>
      </w:r>
    </w:p>
    <w:p w:rsidR="00521BD4" w:rsidRDefault="00521BD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(Completed   ACCA, Dec 2000 to Aug 2007)</w:t>
      </w:r>
    </w:p>
    <w:p w:rsidR="00521BD4" w:rsidRDefault="00521BD4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Systematic Business Training Center/Computer Center, Kuala Lumpur.</w:t>
      </w:r>
    </w:p>
    <w:p w:rsidR="00521BD4" w:rsidRDefault="00521BD4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Business Studies majoring in Financial Accounting</w:t>
      </w:r>
    </w:p>
    <w:p w:rsidR="00521BD4" w:rsidRDefault="00521BD4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LCCI (London Chamber of Commerce and Industry)</w:t>
      </w:r>
    </w:p>
    <w:p w:rsidR="00521BD4" w:rsidRDefault="00521BD4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in Practical Book Keeping</w:t>
      </w:r>
    </w:p>
    <w:p w:rsidR="00521BD4" w:rsidRDefault="00521BD4">
      <w:pPr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in Computer Application Packages (MS Word,MS Excel,UBS Accounting)</w:t>
      </w:r>
    </w:p>
    <w:p w:rsidR="00521BD4" w:rsidRDefault="00521BD4">
      <w:pPr>
        <w:ind w:left="1080"/>
        <w:rPr>
          <w:rFonts w:ascii="Arial" w:hAnsi="Arial" w:cs="Arial"/>
          <w:sz w:val="20"/>
          <w:szCs w:val="20"/>
        </w:rPr>
      </w:pPr>
    </w:p>
    <w:p w:rsidR="00521BD4" w:rsidRDefault="00521BD4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9937"/>
      </w:tblGrid>
      <w:tr w:rsidR="00521BD4">
        <w:trPr>
          <w:cantSplit/>
        </w:trPr>
        <w:tc>
          <w:tcPr>
            <w:tcW w:w="9937" w:type="dxa"/>
          </w:tcPr>
          <w:p w:rsidR="00521BD4" w:rsidRDefault="00521BD4">
            <w:pPr>
              <w:snapToGrid w:val="0"/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Skills/Strengths</w:t>
            </w:r>
          </w:p>
        </w:tc>
      </w:tr>
    </w:tbl>
    <w:p w:rsidR="00521BD4" w:rsidRDefault="00521BD4">
      <w:pPr>
        <w:jc w:val="both"/>
      </w:pP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Proactive, optimistic, adaptability, willingness to learn and impart knowledge.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strong command of spoken/written English language and Bahasa Melayu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Interpersonal Skills and a good team player.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planning and organizational skills.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work independently, work with details, resilience under pressure and a fast learner.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 level in Microsoft Excel, Microsoft Word, Microsoft Power Point, UBS accounting.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Intermediate level in Oracle accounting system, Microsoft Business Solution – Great Plains accounting system and Yardi Voyager accounting system.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knowledge in Microsoft operating system : Microsoft Office 2013 / Windows 7 / Windows 10</w:t>
      </w:r>
    </w:p>
    <w:p w:rsidR="00521BD4" w:rsidRDefault="00521BD4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Possess a valid driving license.</w:t>
      </w:r>
    </w:p>
    <w:p w:rsidR="00521BD4" w:rsidRDefault="00521BD4">
      <w:pPr>
        <w:rPr>
          <w:rFonts w:ascii="Arial" w:hAnsi="Arial" w:cs="Arial"/>
        </w:rPr>
      </w:pPr>
    </w:p>
    <w:tbl>
      <w:tblPr>
        <w:tblW w:w="0" w:type="auto"/>
        <w:tblInd w:w="133" w:type="dxa"/>
        <w:tblLayout w:type="fixed"/>
        <w:tblLook w:val="0000" w:firstRow="0" w:lastRow="0" w:firstColumn="0" w:lastColumn="0" w:noHBand="0" w:noVBand="0"/>
      </w:tblPr>
      <w:tblGrid>
        <w:gridCol w:w="9937"/>
      </w:tblGrid>
      <w:tr w:rsidR="00521BD4">
        <w:trPr>
          <w:cantSplit/>
        </w:trPr>
        <w:tc>
          <w:tcPr>
            <w:tcW w:w="9937" w:type="dxa"/>
          </w:tcPr>
          <w:p w:rsidR="00521BD4" w:rsidRDefault="00521BD4">
            <w:pPr>
              <w:snapToGrid w:val="0"/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Referees</w:t>
            </w:r>
          </w:p>
        </w:tc>
      </w:tr>
    </w:tbl>
    <w:p w:rsidR="00521BD4" w:rsidRDefault="00521BD4"/>
    <w:p w:rsidR="00521BD4" w:rsidRDefault="00521BD4">
      <w:pPr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Available upon request</w:t>
      </w:r>
    </w:p>
    <w:sectPr w:rsidR="00521BD4">
      <w:pgSz w:w="11907" w:h="1683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982"/>
        </w:tabs>
        <w:ind w:left="982" w:hanging="360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77"/>
        </w:tabs>
        <w:ind w:left="107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37"/>
        </w:tabs>
        <w:ind w:left="143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Verdan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Verdan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Tahoma"/>
      </w:rPr>
    </w:lvl>
    <w:lvl w:ilvl="1">
      <w:start w:val="1"/>
      <w:numFmt w:val="bullet"/>
      <w:lvlText w:val="◦"/>
      <w:lvlJc w:val="left"/>
      <w:pPr>
        <w:tabs>
          <w:tab w:val="num" w:pos="1077"/>
        </w:tabs>
        <w:ind w:left="107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37"/>
        </w:tabs>
        <w:ind w:left="143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Tahoma"/>
      </w:rPr>
    </w:lvl>
    <w:lvl w:ilvl="4">
      <w:start w:val="1"/>
      <w:numFmt w:val="bullet"/>
      <w:lvlText w:val="◦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Tahoma"/>
      </w:rPr>
    </w:lvl>
    <w:lvl w:ilvl="7">
      <w:start w:val="1"/>
      <w:numFmt w:val="bullet"/>
      <w:lvlText w:val="◦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77"/>
        </w:tabs>
        <w:ind w:left="107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37"/>
        </w:tabs>
        <w:ind w:left="143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77"/>
        </w:tabs>
        <w:ind w:left="107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37"/>
        </w:tabs>
        <w:ind w:left="143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185"/>
        </w:tabs>
        <w:ind w:left="1185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45"/>
        </w:tabs>
        <w:ind w:left="1545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265"/>
        </w:tabs>
        <w:ind w:left="2265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25"/>
        </w:tabs>
        <w:ind w:left="2625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345"/>
        </w:tabs>
        <w:ind w:left="3345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705"/>
        </w:tabs>
        <w:ind w:left="3705" w:hanging="360"/>
      </w:pPr>
      <w:rPr>
        <w:rFonts w:ascii="OpenSymbol" w:hAnsi="OpenSymbol" w:cs="Courier New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44"/>
        </w:tabs>
        <w:ind w:left="104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04"/>
        </w:tabs>
        <w:ind w:left="140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24"/>
        </w:tabs>
        <w:ind w:left="212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84"/>
        </w:tabs>
        <w:ind w:left="248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657"/>
        </w:tabs>
        <w:ind w:left="65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17"/>
        </w:tabs>
        <w:ind w:left="101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77"/>
        </w:tabs>
        <w:ind w:left="137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37"/>
        </w:tabs>
        <w:ind w:left="173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097"/>
        </w:tabs>
        <w:ind w:left="209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57"/>
        </w:tabs>
        <w:ind w:left="245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17"/>
        </w:tabs>
        <w:ind w:left="281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177"/>
        </w:tabs>
        <w:ind w:left="317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37"/>
        </w:tabs>
        <w:ind w:left="3537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5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6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881"/>
    <w:rsid w:val="00033E24"/>
    <w:rsid w:val="000436E7"/>
    <w:rsid w:val="000A71D4"/>
    <w:rsid w:val="001209BE"/>
    <w:rsid w:val="00127D95"/>
    <w:rsid w:val="00134B4B"/>
    <w:rsid w:val="00197A0F"/>
    <w:rsid w:val="002E778F"/>
    <w:rsid w:val="003532B4"/>
    <w:rsid w:val="00370FD7"/>
    <w:rsid w:val="00407C69"/>
    <w:rsid w:val="004353D5"/>
    <w:rsid w:val="00521BD4"/>
    <w:rsid w:val="00586D90"/>
    <w:rsid w:val="0075003E"/>
    <w:rsid w:val="00752384"/>
    <w:rsid w:val="00777A69"/>
    <w:rsid w:val="007C2BE3"/>
    <w:rsid w:val="00814C72"/>
    <w:rsid w:val="008471A6"/>
    <w:rsid w:val="008A33A6"/>
    <w:rsid w:val="008D0647"/>
    <w:rsid w:val="00910A26"/>
    <w:rsid w:val="00912702"/>
    <w:rsid w:val="0094526E"/>
    <w:rsid w:val="009D57EC"/>
    <w:rsid w:val="009F6783"/>
    <w:rsid w:val="00AF5CCD"/>
    <w:rsid w:val="00B97835"/>
    <w:rsid w:val="00BA1753"/>
    <w:rsid w:val="00CA224F"/>
    <w:rsid w:val="00CA5459"/>
    <w:rsid w:val="00CF3CE3"/>
    <w:rsid w:val="00CF5819"/>
    <w:rsid w:val="00D05583"/>
    <w:rsid w:val="00D927FC"/>
    <w:rsid w:val="00DD05EF"/>
    <w:rsid w:val="00E377B2"/>
    <w:rsid w:val="00E47963"/>
    <w:rsid w:val="00F12881"/>
    <w:rsid w:val="070B7EEB"/>
    <w:rsid w:val="12B17295"/>
    <w:rsid w:val="1F2A3ED6"/>
    <w:rsid w:val="27CB220C"/>
    <w:rsid w:val="28DE7DF5"/>
    <w:rsid w:val="374A07E6"/>
    <w:rsid w:val="49F521CA"/>
    <w:rsid w:val="5BAC0B3D"/>
    <w:rsid w:val="6E4D0F66"/>
    <w:rsid w:val="7C8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B4DA19-0C24-4404-8C6B-D35878A0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0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rFonts w:ascii="Verdana" w:hAnsi="Verdana" w:cs="Verdana"/>
      <w:sz w:val="20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DefaultParagraphFont1">
    <w:name w:val="Default Paragraph Font1"/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otnoteCharacters">
    <w:name w:val="Footnote Characters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4z0">
    <w:name w:val="WW8Num4z0"/>
    <w:rPr>
      <w:rFonts w:ascii="Verdana" w:hAnsi="Verdana" w:cs="Verdana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17z1">
    <w:name w:val="WW8Num17z1"/>
    <w:rPr>
      <w:rFonts w:ascii="Wingdings" w:hAnsi="Wingdings" w:cs="OpenSymbol"/>
    </w:rPr>
  </w:style>
  <w:style w:type="character" w:customStyle="1" w:styleId="WW8Num5z0">
    <w:name w:val="WW8Num5z0"/>
    <w:rPr>
      <w:rFonts w:ascii="Verdana" w:hAnsi="Verdana" w:cs="Tahoma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 w:cs="Times New Roman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EndnoteCharacters">
    <w:name w:val="Endnote Characters"/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-DefaultParagraphFont">
    <w:name w:val="WW-Default Paragraph Font"/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8z0">
    <w:name w:val="WW8Num8z0"/>
    <w:rPr>
      <w:rFonts w:ascii="Verdana" w:hAnsi="Verdana" w:cs="Times New Roman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7z0">
    <w:name w:val="WW8Num7z0"/>
    <w:rPr>
      <w:rFonts w:ascii="Verdana" w:hAnsi="Verdana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/>
      <w:sz w:val="18"/>
      <w:szCs w:val="16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styleId="List">
    <w:name w:val="List"/>
    <w:basedOn w:val="BodyText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WW-NormalWeb">
    <w:name w:val="WW-Normal (Web)"/>
    <w:basedOn w:val="Normal"/>
    <w:pPr>
      <w:spacing w:before="280" w:after="28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W-BodyText2">
    <w:name w:val="WW-Body Text 2"/>
    <w:basedOn w:val="Normal"/>
    <w:pPr>
      <w:jc w:val="both"/>
    </w:pPr>
    <w:rPr>
      <w:rFonts w:ascii="Arial" w:hAnsi="Arial" w:cs="Arial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2191</Words>
  <Characters>12493</Characters>
  <Application>Microsoft Office Word</Application>
  <DocSecurity>4</DocSecurity>
  <PresentationFormat/>
  <Lines>104</Lines>
  <Paragraphs>29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mkcorp</Company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</dc:creator>
  <cp:keywords/>
  <dc:description/>
  <cp:lastModifiedBy>Akshat Bhat</cp:lastModifiedBy>
  <cp:revision>2</cp:revision>
  <cp:lastPrinted>2015-08-03T05:31:00Z</cp:lastPrinted>
  <dcterms:created xsi:type="dcterms:W3CDTF">2020-02-01T13:55:00Z</dcterms:created>
  <dcterms:modified xsi:type="dcterms:W3CDTF">2020-02-01T13:55:00Z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