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7578F6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26 Jul 2017</w:t>
      </w:r>
    </w:p>
    <w:p w:rsidR="009B738F" w:rsidRPr="00C81D54" w:rsidRDefault="007578F6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7578F6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7578F6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7578F6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5,500</w:t>
            </w:r>
          </w:p>
        </w:tc>
        <w:tc>
          <w:tcPr>
            <w:tcW w:w="6007" w:type="dxa"/>
          </w:tcPr>
          <w:p w:rsidR="005D0EF9" w:rsidRDefault="007578F6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Pei Yee Sie</w:t>
            </w:r>
          </w:p>
          <w:p w:rsidR="00DF0CE6" w:rsidRPr="00A2216A" w:rsidRDefault="007578F6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Finance Manager at The Zest Group Pte. Ltd.</w:t>
            </w:r>
          </w:p>
          <w:p w:rsidR="007F0C3D" w:rsidRDefault="007578F6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578F6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578F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6 years</w:t>
                  </w:r>
                </w:p>
                <w:p w:rsidR="007F0C3D" w:rsidRDefault="007578F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578F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578F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Audit Senior</w:t>
                  </w:r>
                </w:p>
                <w:p w:rsidR="007F0C3D" w:rsidRDefault="007578F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RSM Chio Lim LLP</w:t>
                  </w:r>
                </w:p>
                <w:p w:rsidR="007F0C3D" w:rsidRDefault="007578F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578F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578F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University of Malaya (UM)</w:t>
                  </w:r>
                </w:p>
                <w:p w:rsidR="007F0C3D" w:rsidRDefault="007578F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Bachelor's (2011)</w:t>
                  </w:r>
                </w:p>
                <w:p w:rsidR="007F0C3D" w:rsidRDefault="007578F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578F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578F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578F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578F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578F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578F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81390906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578F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578F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spyee_414@hotmail.com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578F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578F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29 years old</w:t>
                  </w:r>
                </w:p>
              </w:tc>
            </w:tr>
          </w:tbl>
          <w:p w:rsidR="007F0C3D" w:rsidRDefault="007578F6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7578F6">
      <w:pPr>
        <w:rPr>
          <w:rFonts w:ascii="Arial" w:hAnsi="Arial" w:cs="Arial"/>
          <w:sz w:val="16"/>
          <w:szCs w:val="16"/>
        </w:rPr>
      </w:pPr>
    </w:p>
    <w:p w:rsidR="008A5E1C" w:rsidRPr="006A20C8" w:rsidRDefault="007578F6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7578F6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578F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Aug 2014 - Present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years)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Finance Manager</w:t>
            </w:r>
          </w:p>
          <w:p w:rsidR="00AD3065" w:rsidRPr="006A20C8" w:rsidRDefault="007578F6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The Zest Group Pte. Ltd.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The Group is having food and beverages retail chain in Singapore (Bran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 name: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Artisan Boulangerie Compagnie and Alt. Pizza) and Twelve Cupcakes International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 countries such as Hong Kong, Taiwan and Indonesia.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Manage and oversee day-to-day finance and accounting organization for brands in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Singapore and overseas. Respons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ible for transaction processing, cash flow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management, banking, vendor management and month end reporting to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management.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Prepare budgeting, forecasts, scenario analysis and ad-hoc reporting to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management.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Develop and introduce an internal control mec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hanism to minimize risks and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strengthen corporate governance awareness throughout the organization.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Implement an Enterprise Resource Planning (ERP) project management for the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company that aims to improve productivity of the company’s back-office while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mplementing best practice with regards to data control and improving processes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and procedures for Accounts and Finance team.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Coordinate and deliver the year end audit, tax and statutory reporting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requirements on a timely basis.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Sep 2011 - Jul 2014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years 10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Audit Senior</w:t>
            </w:r>
          </w:p>
          <w:p w:rsidR="00AD3065" w:rsidRPr="006A20C8" w:rsidRDefault="007578F6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RSM Chio Lim LLP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Involved in assurance unit and specialized in Real Estate Investment Trust (REITs), listed debts, fund accounting and manufacturing companies in countries such as Singapore and Ind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onesia.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Senior-in-charge for public listed companies listed in the Singapore Stock Exchange (the ‘SGX’) and private limited companies.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Responsible in planning and oversee the work of two to three staff auditors, providing mentoring and coaching. Cond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ucted compliance audit works, evaluated the effectiveness of internal control policies and recommended areas of improvement. Analyzed financial statements to identify trends and anomalies in financial data.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- Performed statutory audits in compliance with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the International Financial Reporting Standards, Singapore Financial Reporting Standards and Singapore Companies Act.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Jun 2010 - Nov 2010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(5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Intern</w:t>
            </w:r>
          </w:p>
          <w:p w:rsidR="00AD3065" w:rsidRPr="006A20C8" w:rsidRDefault="007578F6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Ernst &amp; Young, Kuala Lumpur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Involved in assurance unit and speciali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zed in real estate and constructions companies.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Assist supervisors and seniors in various audit engagements for public listed companies listed in Bursa Malaysia.</w:t>
            </w: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7578F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7578F6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7578F6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7578F6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7578F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2011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University of Malaya (UM)</w:t>
            </w:r>
          </w:p>
          <w:p w:rsidR="00135138" w:rsidRPr="006A20C8" w:rsidRDefault="007578F6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135138" w:rsidRPr="006A20C8" w:rsidRDefault="007578F6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Accouting</w:t>
            </w:r>
          </w:p>
          <w:p w:rsidR="00135138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CGPA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3.18/4</w:t>
            </w:r>
          </w:p>
          <w:p w:rsidR="00135138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135138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- H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ead of Program Department for Charity Projects (Semester 2008/2009)</w:t>
            </w:r>
          </w:p>
          <w:p w:rsidR="00135138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135138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Committee Member of Program Department for University Career Path 2010</w:t>
            </w:r>
          </w:p>
          <w:p w:rsidR="00135138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135138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2007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Kedah Matriculation College</w:t>
            </w:r>
          </w:p>
          <w:p w:rsidR="00135138" w:rsidRPr="006A20C8" w:rsidRDefault="007578F6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Higher Sec in Business and Accounting</w:t>
            </w:r>
          </w:p>
          <w:p w:rsidR="00135138" w:rsidRPr="006A20C8" w:rsidRDefault="007578F6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Accounting</w:t>
            </w:r>
          </w:p>
          <w:p w:rsidR="00135138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CGPA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4/4</w:t>
            </w:r>
          </w:p>
          <w:p w:rsidR="00135138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135138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Awarded Sq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uash Team Champion for Matriculation Co-curriculum Carnival 2006</w:t>
            </w:r>
          </w:p>
          <w:p w:rsidR="00135138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</w:t>
            </w:r>
          </w:p>
          <w:p w:rsidR="00135138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Facilitator for Student Academic Excellent Program</w:t>
            </w:r>
          </w:p>
          <w:p w:rsidR="00135138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135138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7578F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7578F6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7578F6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7578F6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7578F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Advanced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Epicor 10 (ERP System), Microsoft Excel, Microsoft PowerPoint, Microsoft Word, MYOB Accounting Software</w:t>
            </w:r>
          </w:p>
        </w:tc>
      </w:tr>
    </w:tbl>
    <w:p w:rsidR="003B0B6F" w:rsidRPr="006A20C8" w:rsidRDefault="007578F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7578F6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7578F6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</w:t>
      </w:r>
      <w:r w:rsidRPr="006A20C8">
        <w:rPr>
          <w:rFonts w:ascii="Arial" w:hAnsi="Arial" w:cs="Arial"/>
          <w:b/>
          <w:noProof/>
          <w:sz w:val="28"/>
          <w:szCs w:val="18"/>
        </w:rPr>
        <w:t>s</w:t>
      </w:r>
    </w:p>
    <w:p w:rsidR="007B6ADA" w:rsidRPr="006A20C8" w:rsidRDefault="007578F6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7578F6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7578F6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578F6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578F6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578F6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578F6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9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578F6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578F6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578F6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578F6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8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578F6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578F6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578F6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7578F6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7578F6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7578F6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7578F6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7578F6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7578F6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5,500</w:t>
      </w:r>
    </w:p>
    <w:p w:rsidR="009708E8" w:rsidRPr="006A20C8" w:rsidRDefault="007578F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7578F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7578F6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7578F6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Female</w:t>
            </w:r>
          </w:p>
          <w:p w:rsidR="00923336" w:rsidRPr="006A20C8" w:rsidRDefault="007578F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7578F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7578F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523 Ang Mo Kio Avenue 5, </w:t>
            </w: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#04-4172, 560523,</w:t>
            </w:r>
          </w:p>
          <w:p w:rsidR="00923336" w:rsidRPr="006A20C8" w:rsidRDefault="007578F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7578F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7578F6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7578F6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7578F6">
      <w:r>
        <w:separator/>
      </w:r>
    </w:p>
  </w:endnote>
  <w:endnote w:type="continuationSeparator" w:id="0">
    <w:p w:rsidR="001043F1" w:rsidRDefault="0075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7578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7578F6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757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7578F6">
      <w:r>
        <w:separator/>
      </w:r>
    </w:p>
  </w:footnote>
  <w:footnote w:type="continuationSeparator" w:id="0">
    <w:p w:rsidR="001043F1" w:rsidRDefault="00757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7578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7578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7578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75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0F131-4BA1-421E-A0E4-575FFFF5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3070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