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ql5wbtc9av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Model Performance &amp; Insights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Silhouette Score:</w:t>
        <w:br w:type="textWrapping"/>
        <w:t xml:space="preserve">-</w:t>
      </w:r>
      <w:r w:rsidDel="00000000" w:rsidR="00000000" w:rsidRPr="00000000">
        <w:rPr>
          <w:rtl w:val="0"/>
        </w:rPr>
        <w:t xml:space="preserve"> Achieved a </w:t>
      </w:r>
      <w:r w:rsidDel="00000000" w:rsidR="00000000" w:rsidRPr="00000000">
        <w:rPr>
          <w:b w:val="1"/>
          <w:rtl w:val="0"/>
        </w:rPr>
        <w:t xml:space="preserve">Silhouette Score of 0.6067</w:t>
      </w:r>
      <w:r w:rsidDel="00000000" w:rsidR="00000000" w:rsidRPr="00000000">
        <w:rPr>
          <w:rtl w:val="0"/>
        </w:rPr>
        <w:t xml:space="preserve">, indicating well-defined and meaningful clusters.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Cluster Profiles:</w:t>
        <w:br w:type="textWrapping"/>
        <w:t xml:space="preserve">-Cluster 0:</w:t>
        <w:br w:type="textWrapping"/>
      </w:r>
      <w:r w:rsidDel="00000000" w:rsidR="00000000" w:rsidRPr="00000000">
        <w:rPr>
          <w:rtl w:val="0"/>
        </w:rPr>
        <w:t xml:space="preserve"> Customers with moderate purchase frequency and monetary value. Potential for loyalty   programs.</w:t>
        <w:br w:type="textWrapping"/>
        <w:t xml:space="preserve">-</w:t>
      </w:r>
      <w:r w:rsidDel="00000000" w:rsidR="00000000" w:rsidRPr="00000000">
        <w:rPr>
          <w:b w:val="1"/>
          <w:rtl w:val="0"/>
        </w:rPr>
        <w:t xml:space="preserve">Cluster 1:</w:t>
        <w:br w:type="textWrapping"/>
      </w:r>
      <w:r w:rsidDel="00000000" w:rsidR="00000000" w:rsidRPr="00000000">
        <w:rPr>
          <w:rtl w:val="0"/>
        </w:rPr>
        <w:t xml:space="preserve"> Customers with low frequency and low monetary value. Targeted promotions needed.</w:t>
        <w:br w:type="textWrapping"/>
        <w:t xml:space="preserve">-</w:t>
      </w:r>
      <w:r w:rsidDel="00000000" w:rsidR="00000000" w:rsidRPr="00000000">
        <w:rPr>
          <w:b w:val="1"/>
          <w:rtl w:val="0"/>
        </w:rPr>
        <w:t xml:space="preserve">Cluster 2:</w:t>
        <w:br w:type="textWrapping"/>
      </w:r>
      <w:r w:rsidDel="00000000" w:rsidR="00000000" w:rsidRPr="00000000">
        <w:rPr>
          <w:rtl w:val="0"/>
        </w:rPr>
        <w:t xml:space="preserve"> VIP Customers — extremely high spenders and frequent buyers. Focus on retention strategies.</w:t>
        <w:br w:type="textWrapping"/>
        <w:t xml:space="preserve">-</w:t>
      </w:r>
      <w:r w:rsidDel="00000000" w:rsidR="00000000" w:rsidRPr="00000000">
        <w:rPr>
          <w:b w:val="1"/>
          <w:rtl w:val="0"/>
        </w:rPr>
        <w:t xml:space="preserve">Cluster 3:</w:t>
        <w:br w:type="textWrapping"/>
      </w:r>
      <w:r w:rsidDel="00000000" w:rsidR="00000000" w:rsidRPr="00000000">
        <w:rPr>
          <w:rtl w:val="0"/>
        </w:rPr>
        <w:t xml:space="preserve"> Super recent and super frequent buyers. Upselling and cross-selling opportunities.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Business Impact:</w:t>
        <w:br w:type="textWrapping"/>
        <w:t xml:space="preserve">-</w:t>
      </w:r>
      <w:r w:rsidDel="00000000" w:rsidR="00000000" w:rsidRPr="00000000">
        <w:rPr>
          <w:rtl w:val="0"/>
        </w:rPr>
        <w:t xml:space="preserve">Tailored marketing strategies were suggested for each cluster.</w:t>
        <w:br w:type="textWrapping"/>
        <w:t xml:space="preserve">High-value clusters identified for priority engagement and loyalty initiatives.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1700"/>
        <w:gridCol w:w="1940"/>
        <w:gridCol w:w="1865"/>
        <w:gridCol w:w="2390"/>
        <w:tblGridChange w:id="0">
          <w:tblGrid>
            <w:gridCol w:w="995"/>
            <w:gridCol w:w="1700"/>
            <w:gridCol w:w="1940"/>
            <w:gridCol w:w="1865"/>
            <w:gridCol w:w="23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Recency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Monetary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$1,094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Loyalty Program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Retargeting Campaign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603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$49,329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VIP Retention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5062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$68,635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Premium Upselling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