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ersonal_bank_ledger_and_statemen_9e73b3"/>
      <w:r>
        <w:rPr>
          <w:rFonts w:eastAsia="source serif 4" w:cs="source serif 4" w:ascii="source serif 4" w:hAnsi="source serif 4"/>
          <w:b/>
          <w:color w:val="000000"/>
          <w:sz w:val="39"/>
        </w:rPr>
        <w:t xml:space="preserve">Personal Bank Ledger and Statement Generator</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The Personal Bank Ledger and Statement Generator is a digital application for recording, organizing, analyzing, and reporting personal financial transactions. It helps users maintain an accurate ledger of income and expenses while providing clear summaries and professional statements for selected periods.</w:t>
      </w:r>
    </w:p>
    <w:p>
      <w:pPr>
        <w:spacing w:line="360" w:before="315" w:after="105" w:lineRule="auto"/>
        <w:ind w:left="-30"/>
        <w:jc w:val="left"/>
      </w:pPr>
      <w:bookmarkStart w:id="2" w:name="objectives"/>
      <w:r>
        <w:rPr>
          <w:rFonts w:eastAsia="source serif 4" w:cs="source serif 4" w:ascii="source serif 4" w:hAnsi="source serif 4"/>
          <w:b/>
          <w:color w:val="000000"/>
          <w:sz w:val="24"/>
        </w:rPr>
        <w:t xml:space="preserve">Objectives</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Maintain a centralized record of personal transactions.</w:t>
      </w:r>
    </w:p>
    <w:p>
      <w:pPr>
        <w:numPr>
          <w:ilvl w:val="0"/>
          <w:numId w:val="1"/>
        </w:numPr>
        <w:spacing w:line="360" w:before="105" w:after="105" w:lineRule="auto"/>
      </w:pPr>
      <w:r>
        <w:rPr>
          <w:rFonts w:eastAsia="source serif 4" w:cs="source serif 4" w:ascii="source serif 4" w:hAnsi="source serif 4"/>
          <w:color w:val="000000"/>
          <w:sz w:val="21"/>
        </w:rPr>
        <w:t xml:space="preserve">Automatically calculate debit, credit, and running balances.</w:t>
      </w:r>
    </w:p>
    <w:p>
      <w:pPr>
        <w:numPr>
          <w:ilvl w:val="0"/>
          <w:numId w:val="1"/>
        </w:numPr>
        <w:spacing w:line="360" w:before="105" w:after="105" w:lineRule="auto"/>
      </w:pPr>
      <w:r>
        <w:rPr>
          <w:rFonts w:eastAsia="source serif 4" w:cs="source serif 4" w:ascii="source serif 4" w:hAnsi="source serif 4"/>
          <w:color w:val="000000"/>
          <w:sz w:val="21"/>
        </w:rPr>
        <w:t xml:space="preserve">Reduce manual calculation errors and record-keeping effort.</w:t>
      </w:r>
    </w:p>
    <w:p>
      <w:pPr>
        <w:numPr>
          <w:ilvl w:val="0"/>
          <w:numId w:val="1"/>
        </w:numPr>
        <w:spacing w:line="360" w:before="105" w:after="105" w:lineRule="auto"/>
      </w:pPr>
      <w:r>
        <w:rPr>
          <w:rFonts w:eastAsia="source serif 4" w:cs="source serif 4" w:ascii="source serif 4" w:hAnsi="source serif 4"/>
          <w:color w:val="000000"/>
          <w:sz w:val="21"/>
        </w:rPr>
        <w:t xml:space="preserve">Provide searchable and filterable financial history.</w:t>
      </w:r>
    </w:p>
    <w:p>
      <w:pPr>
        <w:numPr>
          <w:ilvl w:val="0"/>
          <w:numId w:val="1"/>
        </w:numPr>
        <w:spacing w:line="360" w:before="105" w:after="105" w:lineRule="auto"/>
      </w:pPr>
      <w:r>
        <w:rPr>
          <w:rFonts w:eastAsia="source serif 4" w:cs="source serif 4" w:ascii="source serif 4" w:hAnsi="source serif 4"/>
          <w:color w:val="000000"/>
          <w:sz w:val="21"/>
        </w:rPr>
        <w:t xml:space="preserve">Display spending patterns through charts and summaries.</w:t>
      </w:r>
    </w:p>
    <w:p>
      <w:pPr>
        <w:numPr>
          <w:ilvl w:val="0"/>
          <w:numId w:val="1"/>
        </w:numPr>
        <w:spacing w:line="360" w:before="105" w:after="105" w:lineRule="auto"/>
      </w:pPr>
      <w:r>
        <w:rPr>
          <w:rFonts w:eastAsia="source serif 4" w:cs="source serif 4" w:ascii="source serif 4" w:hAnsi="source serif 4"/>
          <w:color w:val="000000"/>
          <w:sz w:val="21"/>
        </w:rPr>
        <w:t xml:space="preserve">Generate statements that can be reviewed, printed, or exported.</w:t>
      </w:r>
    </w:p>
    <w:p>
      <w:pPr>
        <w:numPr>
          <w:ilvl w:val="0"/>
          <w:numId w:val="1"/>
        </w:numPr>
        <w:spacing w:line="360" w:before="105" w:after="105" w:lineRule="auto"/>
      </w:pPr>
      <w:r>
        <w:rPr>
          <w:rFonts w:eastAsia="source serif 4" w:cs="source serif 4" w:ascii="source serif 4" w:hAnsi="source serif 4"/>
          <w:color w:val="000000"/>
          <w:sz w:val="21"/>
        </w:rPr>
        <w:t xml:space="preserve">Encourage better budgeting and financial decision-making.</w:t>
      </w:r>
    </w:p>
    <w:p>
      <w:pPr>
        <w:spacing w:line="360" w:before="315" w:after="105" w:lineRule="auto"/>
        <w:ind w:left="-30"/>
        <w:jc w:val="left"/>
      </w:pPr>
      <w:bookmarkStart w:id="3" w:name="key_features"/>
      <w:r>
        <w:rPr>
          <w:rFonts w:eastAsia="source serif 4" w:cs="source serif 4" w:ascii="source serif 4" w:hAnsi="source serif 4"/>
          <w:b/>
          <w:color w:val="000000"/>
          <w:sz w:val="24"/>
        </w:rPr>
        <w:t xml:space="preserve">Key Features</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Transaction management for income and expenses.</w:t>
      </w:r>
    </w:p>
    <w:p>
      <w:pPr>
        <w:numPr>
          <w:ilvl w:val="0"/>
          <w:numId w:val="2"/>
        </w:numPr>
        <w:spacing w:line="360" w:before="105" w:after="105" w:lineRule="auto"/>
      </w:pPr>
      <w:r>
        <w:rPr>
          <w:rFonts w:eastAsia="source serif 4" w:cs="source serif 4" w:ascii="source serif 4" w:hAnsi="source serif 4"/>
          <w:color w:val="000000"/>
          <w:sz w:val="21"/>
        </w:rPr>
        <w:t xml:space="preserve">Fields for date, description, category, payment mode, debit, credit, and balance.</w:t>
      </w:r>
    </w:p>
    <w:p>
      <w:pPr>
        <w:numPr>
          <w:ilvl w:val="0"/>
          <w:numId w:val="2"/>
        </w:numPr>
        <w:spacing w:line="360" w:before="105" w:after="105" w:lineRule="auto"/>
      </w:pPr>
      <w:r>
        <w:rPr>
          <w:rFonts w:eastAsia="source serif 4" w:cs="source serif 4" w:ascii="source serif 4" w:hAnsi="source serif 4"/>
          <w:color w:val="000000"/>
          <w:sz w:val="21"/>
        </w:rPr>
        <w:t xml:space="preserve">Automatic running-balance calculation.</w:t>
      </w:r>
    </w:p>
    <w:p>
      <w:pPr>
        <w:numPr>
          <w:ilvl w:val="0"/>
          <w:numId w:val="2"/>
        </w:numPr>
        <w:spacing w:line="360" w:before="105" w:after="105" w:lineRule="auto"/>
      </w:pPr>
      <w:r>
        <w:rPr>
          <w:rFonts w:eastAsia="source serif 4" w:cs="source serif 4" w:ascii="source serif 4" w:hAnsi="source serif 4"/>
          <w:color w:val="000000"/>
          <w:sz w:val="21"/>
        </w:rPr>
        <w:t xml:space="preserve">Search and filtering by date, category, transaction type, or amount.</w:t>
      </w:r>
    </w:p>
    <w:p>
      <w:pPr>
        <w:numPr>
          <w:ilvl w:val="0"/>
          <w:numId w:val="2"/>
        </w:numPr>
        <w:spacing w:line="360" w:before="105" w:after="105" w:lineRule="auto"/>
      </w:pPr>
      <w:r>
        <w:rPr>
          <w:rFonts w:eastAsia="source serif 4" w:cs="source serif 4" w:ascii="source serif 4" w:hAnsi="source serif 4"/>
          <w:color w:val="000000"/>
          <w:sz w:val="21"/>
        </w:rPr>
        <w:t xml:space="preserve">Monthly and date-range summaries.</w:t>
      </w:r>
    </w:p>
    <w:p>
      <w:pPr>
        <w:numPr>
          <w:ilvl w:val="0"/>
          <w:numId w:val="2"/>
        </w:numPr>
        <w:spacing w:line="360" w:before="105" w:after="105" w:lineRule="auto"/>
      </w:pPr>
      <w:r>
        <w:rPr>
          <w:rFonts w:eastAsia="source serif 4" w:cs="source serif 4" w:ascii="source serif 4" w:hAnsi="source serif 4"/>
          <w:color w:val="000000"/>
          <w:sz w:val="21"/>
        </w:rPr>
        <w:t xml:space="preserve">Visual expense analysis using graphs.</w:t>
      </w:r>
    </w:p>
    <w:p>
      <w:pPr>
        <w:numPr>
          <w:ilvl w:val="0"/>
          <w:numId w:val="2"/>
        </w:numPr>
        <w:spacing w:line="360" w:before="105" w:after="105" w:lineRule="auto"/>
      </w:pPr>
      <w:r>
        <w:rPr>
          <w:rFonts w:eastAsia="source serif 4" w:cs="source serif 4" w:ascii="source serif 4" w:hAnsi="source serif 4"/>
          <w:color w:val="000000"/>
          <w:sz w:val="21"/>
        </w:rPr>
        <w:t xml:space="preserve">Statement generation for selected periods.</w:t>
      </w:r>
    </w:p>
    <w:p>
      <w:pPr>
        <w:numPr>
          <w:ilvl w:val="0"/>
          <w:numId w:val="2"/>
        </w:numPr>
        <w:spacing w:line="360" w:before="105" w:after="105" w:lineRule="auto"/>
      </w:pPr>
      <w:r>
        <w:rPr>
          <w:rFonts w:eastAsia="source serif 4" w:cs="source serif 4" w:ascii="source serif 4" w:hAnsi="source serif 4"/>
          <w:color w:val="000000"/>
          <w:sz w:val="21"/>
        </w:rPr>
        <w:t xml:space="preserve">Export support for formats such as PDF or CSV.</w:t>
      </w:r>
    </w:p>
    <w:p>
      <w:pPr>
        <w:numPr>
          <w:ilvl w:val="0"/>
          <w:numId w:val="2"/>
        </w:numPr>
        <w:spacing w:line="360" w:before="105" w:after="105" w:lineRule="auto"/>
      </w:pPr>
      <w:r>
        <w:rPr>
          <w:rFonts w:eastAsia="source serif 4" w:cs="source serif 4" w:ascii="source serif 4" w:hAnsi="source serif 4"/>
          <w:color w:val="000000"/>
          <w:sz w:val="21"/>
        </w:rPr>
        <w:t xml:space="preserve">Input validation and secure handling of personal financial information.</w:t>
      </w:r>
    </w:p>
    <w:p>
      <w:pPr>
        <w:spacing w:line="360" w:before="315" w:after="105" w:lineRule="auto"/>
        <w:ind w:left="-30"/>
        <w:jc w:val="left"/>
      </w:pPr>
      <w:bookmarkStart w:id="4" w:name="example_workflow"/>
      <w:r>
        <w:rPr>
          <w:rFonts w:eastAsia="source serif 4" w:cs="source serif 4" w:ascii="source serif 4" w:hAnsi="source serif 4"/>
          <w:b/>
          <w:color w:val="000000"/>
          <w:sz w:val="24"/>
        </w:rPr>
        <w:t xml:space="preserve">Example Workflow</w:t>
      </w:r>
      <w:bookmarkEnd w:id="4"/>
    </w:p>
    <w:p>
      <w:pPr>
        <w:numPr>
          <w:ilvl w:val="0"/>
          <w:numId w:val="3"/>
        </w:numPr>
        <w:spacing w:line="360" w:before="105" w:after="105" w:lineRule="auto"/>
      </w:pPr>
      <w:r>
        <w:rPr>
          <w:rFonts w:eastAsia="source serif 4" w:cs="source serif 4" w:ascii="source serif 4" w:hAnsi="source serif 4"/>
          <w:color w:val="000000"/>
          <w:sz w:val="21"/>
        </w:rPr>
        <w:t xml:space="preserve">Add an income or expense transaction.</w:t>
      </w:r>
    </w:p>
    <w:p>
      <w:pPr>
        <w:numPr>
          <w:ilvl w:val="0"/>
          <w:numId w:val="3"/>
        </w:numPr>
        <w:spacing w:line="360" w:before="105" w:after="105" w:lineRule="auto"/>
      </w:pPr>
      <w:r>
        <w:rPr>
          <w:rFonts w:eastAsia="source serif 4" w:cs="source serif 4" w:ascii="source serif 4" w:hAnsi="source serif 4"/>
          <w:color w:val="000000"/>
          <w:sz w:val="21"/>
        </w:rPr>
        <w:t xml:space="preserve">Enter the transaction details and save the record.</w:t>
      </w:r>
    </w:p>
    <w:p>
      <w:pPr>
        <w:numPr>
          <w:ilvl w:val="0"/>
          <w:numId w:val="3"/>
        </w:numPr>
        <w:spacing w:line="360" w:before="105" w:after="105" w:lineRule="auto"/>
      </w:pPr>
      <w:r>
        <w:rPr>
          <w:rFonts w:eastAsia="source serif 4" w:cs="source serif 4" w:ascii="source serif 4" w:hAnsi="source serif 4"/>
          <w:color w:val="000000"/>
          <w:sz w:val="21"/>
        </w:rPr>
        <w:t xml:space="preserve">Review the updated running balance.</w:t>
      </w:r>
    </w:p>
    <w:p>
      <w:pPr>
        <w:numPr>
          <w:ilvl w:val="0"/>
          <w:numId w:val="3"/>
        </w:numPr>
        <w:spacing w:line="360" w:before="105" w:after="105" w:lineRule="auto"/>
      </w:pPr>
      <w:r>
        <w:rPr>
          <w:rFonts w:eastAsia="source serif 4" w:cs="source serif 4" w:ascii="source serif 4" w:hAnsi="source serif 4"/>
          <w:color w:val="000000"/>
          <w:sz w:val="21"/>
        </w:rPr>
        <w:t xml:space="preserve">Filter transactions for a selected date range or category.</w:t>
      </w:r>
    </w:p>
    <w:p>
      <w:pPr>
        <w:numPr>
          <w:ilvl w:val="0"/>
          <w:numId w:val="3"/>
        </w:numPr>
        <w:spacing w:line="360" w:before="105" w:after="105" w:lineRule="auto"/>
      </w:pPr>
      <w:r>
        <w:rPr>
          <w:rFonts w:eastAsia="source serif 4" w:cs="source serif 4" w:ascii="source serif 4" w:hAnsi="source serif 4"/>
          <w:color w:val="000000"/>
          <w:sz w:val="21"/>
        </w:rPr>
        <w:t xml:space="preserve">View charts and financial summaries.</w:t>
      </w:r>
    </w:p>
    <w:p>
      <w:pPr>
        <w:numPr>
          <w:ilvl w:val="0"/>
          <w:numId w:val="3"/>
        </w:numPr>
        <w:spacing w:line="360" w:before="105" w:after="105" w:lineRule="auto"/>
      </w:pPr>
      <w:r>
        <w:rPr>
          <w:rFonts w:eastAsia="source serif 4" w:cs="source serif 4" w:ascii="source serif 4" w:hAnsi="source serif 4"/>
          <w:color w:val="000000"/>
          <w:sz w:val="21"/>
        </w:rPr>
        <w:t xml:space="preserve">Generate and export a statement when required.</w:t>
      </w:r>
    </w:p>
    <w:p>
      <w:pPr>
        <w:spacing w:line="360" w:before="315" w:after="105" w:lineRule="auto"/>
        <w:ind w:left="-30"/>
        <w:jc w:val="left"/>
      </w:pPr>
      <w:bookmarkStart w:id="5" w:name="suggested_transaction_fields"/>
      <w:r>
        <w:rPr>
          <w:rFonts w:eastAsia="source serif 4" w:cs="source serif 4" w:ascii="source serif 4" w:hAnsi="source serif 4"/>
          <w:b/>
          <w:color w:val="000000"/>
          <w:sz w:val="24"/>
        </w:rPr>
        <w:t xml:space="preserve">Suggested Transaction Fields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Transaction 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Date on which the transaction occurred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Short explanation of the transaction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Food, bills, transport, shopping, salary, and so 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Payment Mode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Cash, card, bank transfer, or digital payment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Amount spent or withdrawn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Amount received or deposited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Balance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Updated balance after the transaction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additional information</w:t>
            </w:r>
          </w:p>
        </w:tc>
      </w:tr>
    </w:tbl>
    <w:p>
      <w:pPr>
        <w:spacing w:lineRule="auto"/>
      </w:pPr>
    </w:p>
    <w:p>
      <w:pPr>
        <w:spacing w:line="360" w:before="315" w:after="105" w:lineRule="auto"/>
        <w:ind w:left="-30"/>
        <w:jc w:val="left"/>
      </w:pPr>
      <w:bookmarkStart w:id="6" w:name="illustrative_project_structure"/>
      <w:r>
        <w:rPr>
          <w:rFonts w:eastAsia="source serif 4" w:cs="source serif 4" w:ascii="source serif 4" w:hAnsi="source serif 4"/>
          <w:b/>
          <w:color w:val="000000"/>
          <w:sz w:val="24"/>
        </w:rPr>
        <w:t xml:space="preserve">Illustrative Project Structure</w:t>
      </w:r>
      <w:bookmarkEnd w:id="6"/>
    </w:p>
    <w:p>
      <w:pPr>
        <w:pStyle w:val="SourceCode"/>
        <w:shd w:val="clear" w:fill="F8F8FA"/>
        <w:spacing w:line="336" w:lineRule="auto"/>
      </w:pPr>
      <w:r>
        <w:rPr>
          <w:rStyle w:val="VerbatimChar"/>
          <w:rFonts w:eastAsia="menlo" w:cs="menlo" w:ascii="menlo" w:hAnsi="menlo"/>
          <w:color w:val="000000"/>
          <w:sz w:val="18"/>
        </w:rPr>
        <w:t xml:space="preserve">personal-bank-ledger/</w:t>
        <w:br/>
        <w:t xml:space="preserve">├── README.md</w:t>
        <w:br/>
        <w:t xml:space="preserve">├── src/</w:t>
        <w:br/>
        <w:t xml:space="preserve">│   ├── models/</w:t>
        <w:br/>
        <w:t xml:space="preserve">│   ├── services/</w:t>
        <w:br/>
        <w:t xml:space="preserve">│   ├── controllers/</w:t>
        <w:br/>
        <w:t xml:space="preserve">│   └── reports/</w:t>
        <w:br/>
        <w:t xml:space="preserve">├── tests/</w:t>
        <w:br/>
        <w:t xml:space="preserve">├── data/</w:t>
        <w:br/>
        <w:t xml:space="preserve">├── docs/</w:t>
        <w:br/>
        <w:t xml:space="preserve">└── exports/</w:t>
        <w:br/>
        <w:t xml:space="preserve"/>
      </w:r>
    </w:p>
    <w:p>
      <w:pPr>
        <w:spacing w:line="360" w:after="210" w:lineRule="auto"/>
      </w:pPr>
      <w:r>
        <w:rPr>
          <w:rFonts w:eastAsia="source serif 4" w:cs="source serif 4" w:ascii="source serif 4" w:hAnsi="source serif 4"/>
          <w:color w:val="000000"/>
        </w:rPr>
        <w:t xml:space="preserve">The actual structure may vary depending on the selected programming language, framework, and database.</w:t>
      </w:r>
    </w:p>
    <w:p>
      <w:pPr>
        <w:spacing w:line="360" w:before="315" w:after="105" w:lineRule="auto"/>
        <w:ind w:left="-30"/>
        <w:jc w:val="left"/>
      </w:pPr>
      <w:bookmarkStart w:id="7" w:name="technology_suggestions"/>
      <w:r>
        <w:rPr>
          <w:rFonts w:eastAsia="source serif 4" w:cs="source serif 4" w:ascii="source serif 4" w:hAnsi="source serif 4"/>
          <w:b/>
          <w:color w:val="000000"/>
          <w:sz w:val="24"/>
        </w:rPr>
        <w:t xml:space="preserve">Technology Suggestions</w:t>
      </w:r>
      <w:bookmarkEnd w:id="7"/>
    </w:p>
    <w:p>
      <w:pPr>
        <w:spacing w:line="360" w:after="210" w:lineRule="auto"/>
      </w:pPr>
      <w:r>
        <w:rPr>
          <w:rFonts w:eastAsia="source serif 4" w:cs="source serif 4" w:ascii="source serif 4" w:hAnsi="source serif 4"/>
          <w:color w:val="000000"/>
        </w:rPr>
        <w:t xml:space="preserve">The application can be implemented using a web, desktop, or mobile architecture. Possible technologies include:</w:t>
      </w:r>
    </w:p>
    <w:p>
      <w:pPr>
        <w:numPr>
          <w:ilvl w:val="0"/>
          <w:numId w:val="4"/>
        </w:numPr>
        <w:spacing w:line="360" w:before="105" w:after="105" w:lineRule="auto"/>
      </w:pPr>
      <w:r>
        <w:rPr>
          <w:rFonts w:eastAsia="source serif 4" w:cs="source serif 4" w:ascii="source serif 4" w:hAnsi="source serif 4"/>
          <w:color w:val="000000"/>
          <w:sz w:val="21"/>
        </w:rPr>
        <w:t xml:space="preserve">Front end: HTML, CSS, JavaScript, React, or a desktop UI framework.</w:t>
      </w:r>
    </w:p>
    <w:p>
      <w:pPr>
        <w:numPr>
          <w:ilvl w:val="0"/>
          <w:numId w:val="4"/>
        </w:numPr>
        <w:spacing w:line="360" w:before="105" w:after="105" w:lineRule="auto"/>
      </w:pPr>
      <w:r>
        <w:rPr>
          <w:rFonts w:eastAsia="source serif 4" w:cs="source serif 4" w:ascii="source serif 4" w:hAnsi="source serif 4"/>
          <w:color w:val="000000"/>
          <w:sz w:val="21"/>
        </w:rPr>
        <w:t xml:space="preserve">Back end: Java, Python, Node.js, or another suitable platform.</w:t>
      </w:r>
    </w:p>
    <w:p>
      <w:pPr>
        <w:numPr>
          <w:ilvl w:val="0"/>
          <w:numId w:val="4"/>
        </w:numPr>
        <w:spacing w:line="360" w:before="105" w:after="105" w:lineRule="auto"/>
      </w:pPr>
      <w:r>
        <w:rPr>
          <w:rFonts w:eastAsia="source serif 4" w:cs="source serif 4" w:ascii="source serif 4" w:hAnsi="source serif 4"/>
          <w:color w:val="000000"/>
          <w:sz w:val="21"/>
        </w:rPr>
        <w:t xml:space="preserve">Database: SQLite, MySQL, PostgreSQL, or a cloud database.</w:t>
      </w:r>
    </w:p>
    <w:p>
      <w:pPr>
        <w:numPr>
          <w:ilvl w:val="0"/>
          <w:numId w:val="4"/>
        </w:numPr>
        <w:spacing w:line="360" w:before="105" w:after="105" w:lineRule="auto"/>
      </w:pPr>
      <w:r>
        <w:rPr>
          <w:rFonts w:eastAsia="source serif 4" w:cs="source serif 4" w:ascii="source serif 4" w:hAnsi="source serif 4"/>
          <w:color w:val="000000"/>
          <w:sz w:val="21"/>
        </w:rPr>
        <w:t xml:space="preserve">Reporting: PDF and CSV generation libraries.</w:t>
      </w:r>
    </w:p>
    <w:p>
      <w:pPr>
        <w:numPr>
          <w:ilvl w:val="0"/>
          <w:numId w:val="4"/>
        </w:numPr>
        <w:spacing w:line="360" w:before="105" w:after="105" w:lineRule="auto"/>
      </w:pPr>
      <w:r>
        <w:rPr>
          <w:rFonts w:eastAsia="source serif 4" w:cs="source serif 4" w:ascii="source serif 4" w:hAnsi="source serif 4"/>
          <w:color w:val="000000"/>
          <w:sz w:val="21"/>
        </w:rPr>
        <w:t xml:space="preserve">Testing: Unit testing, API testing, UI automation, and validation of statement calculations.</w:t>
      </w:r>
    </w:p>
    <w:p>
      <w:pPr>
        <w:spacing w:line="360" w:before="315" w:after="105" w:lineRule="auto"/>
        <w:ind w:left="-30"/>
        <w:jc w:val="left"/>
      </w:pPr>
      <w:bookmarkStart w:id="8" w:name="testing_considerations"/>
      <w:r>
        <w:rPr>
          <w:rFonts w:eastAsia="source serif 4" w:cs="source serif 4" w:ascii="source serif 4" w:hAnsi="source serif 4"/>
          <w:b/>
          <w:color w:val="000000"/>
          <w:sz w:val="24"/>
        </w:rPr>
        <w:t xml:space="preserve">Testing Considerations</w:t>
      </w:r>
      <w:bookmarkEnd w:id="8"/>
    </w:p>
    <w:p>
      <w:pPr>
        <w:numPr>
          <w:ilvl w:val="0"/>
          <w:numId w:val="5"/>
        </w:numPr>
        <w:spacing w:line="360" w:before="105" w:after="105" w:lineRule="auto"/>
      </w:pPr>
      <w:r>
        <w:rPr>
          <w:rFonts w:eastAsia="source serif 4" w:cs="source serif 4" w:ascii="source serif 4" w:hAnsi="source serif 4"/>
          <w:color w:val="000000"/>
          <w:sz w:val="21"/>
        </w:rPr>
        <w:t xml:space="preserve">Verify debit, credit, and running-balance calculations.</w:t>
      </w:r>
    </w:p>
    <w:p>
      <w:pPr>
        <w:numPr>
          <w:ilvl w:val="0"/>
          <w:numId w:val="5"/>
        </w:numPr>
        <w:spacing w:line="360" w:before="105" w:after="105" w:lineRule="auto"/>
      </w:pPr>
      <w:r>
        <w:rPr>
          <w:rFonts w:eastAsia="source serif 4" w:cs="source serif 4" w:ascii="source serif 4" w:hAnsi="source serif 4"/>
          <w:color w:val="000000"/>
          <w:sz w:val="21"/>
        </w:rPr>
        <w:t xml:space="preserve">Validate required fields and invalid amounts.</w:t>
      </w:r>
    </w:p>
    <w:p>
      <w:pPr>
        <w:numPr>
          <w:ilvl w:val="0"/>
          <w:numId w:val="5"/>
        </w:numPr>
        <w:spacing w:line="360" w:before="105" w:after="105" w:lineRule="auto"/>
      </w:pPr>
      <w:r>
        <w:rPr>
          <w:rFonts w:eastAsia="source serif 4" w:cs="source serif 4" w:ascii="source serif 4" w:hAnsi="source serif 4"/>
          <w:color w:val="000000"/>
          <w:sz w:val="21"/>
        </w:rPr>
        <w:t xml:space="preserve">Test duplicate, edited, and deleted transactions.</w:t>
      </w:r>
    </w:p>
    <w:p>
      <w:pPr>
        <w:numPr>
          <w:ilvl w:val="0"/>
          <w:numId w:val="5"/>
        </w:numPr>
        <w:spacing w:line="360" w:before="105" w:after="105" w:lineRule="auto"/>
      </w:pPr>
      <w:r>
        <w:rPr>
          <w:rFonts w:eastAsia="source serif 4" w:cs="source serif 4" w:ascii="source serif 4" w:hAnsi="source serif 4"/>
          <w:color w:val="000000"/>
          <w:sz w:val="21"/>
        </w:rPr>
        <w:t xml:space="preserve">Confirm date-range filtering and statement totals.</w:t>
      </w:r>
    </w:p>
    <w:p>
      <w:pPr>
        <w:numPr>
          <w:ilvl w:val="0"/>
          <w:numId w:val="5"/>
        </w:numPr>
        <w:spacing w:line="360" w:before="105" w:after="105" w:lineRule="auto"/>
      </w:pPr>
      <w:r>
        <w:rPr>
          <w:rFonts w:eastAsia="source serif 4" w:cs="source serif 4" w:ascii="source serif 4" w:hAnsi="source serif 4"/>
          <w:color w:val="000000"/>
          <w:sz w:val="21"/>
        </w:rPr>
        <w:t xml:space="preserve">Check chart values against the underlying ledger data.</w:t>
      </w:r>
    </w:p>
    <w:p>
      <w:pPr>
        <w:numPr>
          <w:ilvl w:val="0"/>
          <w:numId w:val="5"/>
        </w:numPr>
        <w:spacing w:line="360" w:before="105" w:after="105" w:lineRule="auto"/>
      </w:pPr>
      <w:r>
        <w:rPr>
          <w:rFonts w:eastAsia="source serif 4" w:cs="source serif 4" w:ascii="source serif 4" w:hAnsi="source serif 4"/>
          <w:color w:val="000000"/>
          <w:sz w:val="21"/>
        </w:rPr>
        <w:t xml:space="preserve">Test export files for accuracy and readability.</w:t>
      </w:r>
    </w:p>
    <w:p>
      <w:pPr>
        <w:numPr>
          <w:ilvl w:val="0"/>
          <w:numId w:val="5"/>
        </w:numPr>
        <w:spacing w:line="360" w:before="105" w:after="105" w:lineRule="auto"/>
      </w:pPr>
      <w:r>
        <w:rPr>
          <w:rFonts w:eastAsia="source serif 4" w:cs="source serif 4" w:ascii="source serif 4" w:hAnsi="source serif 4"/>
          <w:color w:val="000000"/>
          <w:sz w:val="21"/>
        </w:rPr>
        <w:t xml:space="preserve">Verify authentication and protection of sensitive information.</w:t>
      </w:r>
    </w:p>
    <w:p>
      <w:pPr>
        <w:numPr>
          <w:ilvl w:val="0"/>
          <w:numId w:val="5"/>
        </w:numPr>
        <w:spacing w:line="360" w:before="105" w:after="105" w:lineRule="auto"/>
      </w:pPr>
      <w:r>
        <w:rPr>
          <w:rFonts w:eastAsia="source serif 4" w:cs="source serif 4" w:ascii="source serif 4" w:hAnsi="source serif 4"/>
          <w:color w:val="000000"/>
          <w:sz w:val="21"/>
        </w:rPr>
        <w:t xml:space="preserve">Test boundary cases such as zero values, empty ledgers, and large transactions.</w:t>
      </w:r>
    </w:p>
    <w:p>
      <w:pPr>
        <w:spacing w:line="360" w:before="315" w:after="105" w:lineRule="auto"/>
        <w:ind w:left="-30"/>
        <w:jc w:val="left"/>
      </w:pPr>
      <w:bookmarkStart w:id="9" w:name="security_and_privacy"/>
      <w:r>
        <w:rPr>
          <w:rFonts w:eastAsia="source serif 4" w:cs="source serif 4" w:ascii="source serif 4" w:hAnsi="source serif 4"/>
          <w:b/>
          <w:color w:val="000000"/>
          <w:sz w:val="24"/>
        </w:rPr>
        <w:t xml:space="preserve">Security and Privacy</w:t>
      </w:r>
      <w:bookmarkEnd w:id="9"/>
    </w:p>
    <w:p>
      <w:pPr>
        <w:spacing w:line="360" w:after="210" w:lineRule="auto"/>
      </w:pPr>
      <w:r>
        <w:rPr>
          <w:rFonts w:eastAsia="source serif 4" w:cs="source serif 4" w:ascii="source serif 4" w:hAnsi="source serif 4"/>
          <w:color w:val="000000"/>
        </w:rPr>
        <w:t xml:space="preserve">Financial records are sensitive. A production implementation should use authentication, authorization, input validation, secure storage, protected exports, and appropriate backup and recovery procedures. Users should avoid storing real banking credentials in the application unless the system has been designed and reviewed for that purpose.</w:t>
      </w:r>
    </w:p>
    <w:p>
      <w:pPr>
        <w:spacing w:line="360" w:before="315" w:after="105" w:lineRule="auto"/>
        <w:ind w:left="-30"/>
        <w:jc w:val="left"/>
      </w:pPr>
      <w:bookmarkStart w:id="10" w:name="future_enhancements"/>
      <w:r>
        <w:rPr>
          <w:rFonts w:eastAsia="source serif 4" w:cs="source serif 4" w:ascii="source serif 4" w:hAnsi="source serif 4"/>
          <w:b/>
          <w:color w:val="000000"/>
          <w:sz w:val="24"/>
        </w:rPr>
        <w:t xml:space="preserve">Future Enhancements</w:t>
      </w:r>
      <w:bookmarkEnd w:id="10"/>
    </w:p>
    <w:p>
      <w:pPr>
        <w:numPr>
          <w:ilvl w:val="0"/>
          <w:numId w:val="6"/>
        </w:numPr>
        <w:spacing w:line="360" w:before="105" w:after="105" w:lineRule="auto"/>
      </w:pPr>
      <w:r>
        <w:rPr>
          <w:rFonts w:eastAsia="source serif 4" w:cs="source serif 4" w:ascii="source serif 4" w:hAnsi="source serif 4"/>
          <w:color w:val="000000"/>
          <w:sz w:val="21"/>
        </w:rPr>
        <w:t xml:space="preserve">Budget limits and spending alerts.</w:t>
      </w:r>
    </w:p>
    <w:p>
      <w:pPr>
        <w:numPr>
          <w:ilvl w:val="0"/>
          <w:numId w:val="6"/>
        </w:numPr>
        <w:spacing w:line="360" w:before="105" w:after="105" w:lineRule="auto"/>
      </w:pPr>
      <w:r>
        <w:rPr>
          <w:rFonts w:eastAsia="source serif 4" w:cs="source serif 4" w:ascii="source serif 4" w:hAnsi="source serif 4"/>
          <w:color w:val="000000"/>
          <w:sz w:val="21"/>
        </w:rPr>
        <w:t xml:space="preserve">Recurring transactions.</w:t>
      </w:r>
    </w:p>
    <w:p>
      <w:pPr>
        <w:numPr>
          <w:ilvl w:val="0"/>
          <w:numId w:val="6"/>
        </w:numPr>
        <w:spacing w:line="360" w:before="105" w:after="105" w:lineRule="auto"/>
      </w:pPr>
      <w:r>
        <w:rPr>
          <w:rFonts w:eastAsia="source serif 4" w:cs="source serif 4" w:ascii="source serif 4" w:hAnsi="source serif 4"/>
          <w:color w:val="000000"/>
          <w:sz w:val="21"/>
        </w:rPr>
        <w:t xml:space="preserve">Bank statement import.</w:t>
      </w:r>
    </w:p>
    <w:p>
      <w:pPr>
        <w:numPr>
          <w:ilvl w:val="0"/>
          <w:numId w:val="6"/>
        </w:numPr>
        <w:spacing w:line="360" w:before="105" w:after="105" w:lineRule="auto"/>
      </w:pPr>
      <w:r>
        <w:rPr>
          <w:rFonts w:eastAsia="source serif 4" w:cs="source serif 4" w:ascii="source serif 4" w:hAnsi="source serif 4"/>
          <w:color w:val="000000"/>
          <w:sz w:val="21"/>
        </w:rPr>
        <w:t xml:space="preserve">Multiple accounts and currencies.</w:t>
      </w:r>
    </w:p>
    <w:p>
      <w:pPr>
        <w:numPr>
          <w:ilvl w:val="0"/>
          <w:numId w:val="6"/>
        </w:numPr>
        <w:spacing w:line="360" w:before="105" w:after="105" w:lineRule="auto"/>
      </w:pPr>
      <w:r>
        <w:rPr>
          <w:rFonts w:eastAsia="source serif 4" w:cs="source serif 4" w:ascii="source serif 4" w:hAnsi="source serif 4"/>
          <w:color w:val="000000"/>
          <w:sz w:val="21"/>
        </w:rPr>
        <w:t xml:space="preserve">Automated monthly reports.</w:t>
      </w:r>
    </w:p>
    <w:p>
      <w:pPr>
        <w:numPr>
          <w:ilvl w:val="0"/>
          <w:numId w:val="6"/>
        </w:numPr>
        <w:spacing w:line="360" w:before="105" w:after="105" w:lineRule="auto"/>
      </w:pPr>
      <w:r>
        <w:rPr>
          <w:rFonts w:eastAsia="source serif 4" w:cs="source serif 4" w:ascii="source serif 4" w:hAnsi="source serif 4"/>
          <w:color w:val="000000"/>
          <w:sz w:val="21"/>
        </w:rPr>
        <w:t xml:space="preserve">Cloud synchronization and backup.</w:t>
      </w:r>
    </w:p>
    <w:p>
      <w:pPr>
        <w:numPr>
          <w:ilvl w:val="0"/>
          <w:numId w:val="6"/>
        </w:numPr>
        <w:spacing w:line="360" w:before="105" w:after="105" w:lineRule="auto"/>
      </w:pPr>
      <w:r>
        <w:rPr>
          <w:rFonts w:eastAsia="source serif 4" w:cs="source serif 4" w:ascii="source serif 4" w:hAnsi="source serif 4"/>
          <w:color w:val="000000"/>
          <w:sz w:val="21"/>
        </w:rPr>
        <w:t xml:space="preserve">Role-based access for shared household finances.</w:t>
      </w:r>
    </w:p>
    <w:p>
      <w:pPr>
        <w:numPr>
          <w:ilvl w:val="0"/>
          <w:numId w:val="6"/>
        </w:numPr>
        <w:spacing w:line="360" w:before="105" w:after="105" w:lineRule="auto"/>
      </w:pPr>
      <w:r>
        <w:rPr>
          <w:rFonts w:eastAsia="source serif 4" w:cs="source serif 4" w:ascii="source serif 4" w:hAnsi="source serif 4"/>
          <w:color w:val="000000"/>
          <w:sz w:val="21"/>
        </w:rPr>
        <w:t xml:space="preserve">Advanced trend analysis and forecasting.</w:t>
      </w:r>
    </w:p>
    <w:p>
      <w:pPr>
        <w:spacing w:line="360" w:before="315" w:after="105" w:lineRule="auto"/>
        <w:ind w:left="-30"/>
        <w:jc w:val="left"/>
      </w:pPr>
      <w:bookmarkStart w:id="11" w:name="project_status"/>
      <w:r>
        <w:rPr>
          <w:rFonts w:eastAsia="source serif 4" w:cs="source serif 4" w:ascii="source serif 4" w:hAnsi="source serif 4"/>
          <w:b/>
          <w:color w:val="000000"/>
          <w:sz w:val="24"/>
        </w:rPr>
        <w:t xml:space="preserve">Project Status</w:t>
      </w:r>
      <w:bookmarkEnd w:id="11"/>
    </w:p>
    <w:p>
      <w:pPr>
        <w:spacing w:line="360" w:after="210" w:lineRule="auto"/>
      </w:pPr>
      <w:r>
        <w:rPr>
          <w:rFonts w:eastAsia="source serif 4" w:cs="source serif 4" w:ascii="source serif 4" w:hAnsi="source serif 4"/>
          <w:color w:val="000000"/>
        </w:rPr>
        <w:t xml:space="preserve">This document describes the proposed Personal Bank Ledger and Statement Generator project. Implementation details can be updated as the application architecture and technology stack are finalized.</w:t>
      </w:r>
    </w:p>
    <w:p>
      <w:pPr>
        <w:spacing w:line="360" w:before="315" w:after="105" w:lineRule="auto"/>
        <w:ind w:left="-30"/>
        <w:jc w:val="left"/>
      </w:pPr>
      <w:bookmarkStart w:id="12" w:name="license"/>
      <w:r>
        <w:rPr>
          <w:rFonts w:eastAsia="source serif 4" w:cs="source serif 4" w:ascii="source serif 4" w:hAnsi="source serif 4"/>
          <w:b/>
          <w:color w:val="000000"/>
          <w:sz w:val="24"/>
        </w:rPr>
        <w:t xml:space="preserve">License</w:t>
      </w:r>
      <w:bookmarkEnd w:id="12"/>
    </w:p>
    <w:p>
      <w:pPr>
        <w:spacing w:line="360" w:after="210" w:lineRule="auto"/>
      </w:pPr>
      <w:r>
        <w:rPr>
          <w:rFonts w:eastAsia="source serif 4" w:cs="source serif 4" w:ascii="source serif 4" w:hAnsi="source serif 4"/>
          <w:color w:val="000000"/>
        </w:rPr>
        <w:t xml:space="preserve">Add the applicable license here, such as MIT, Apache 2.0, or an organization-specific license.</w:t>
      </w:r>
    </w:p>
    <w:p>
      <w:pPr>
        <w:spacing w:line="360" w:before="315" w:after="105" w:lineRule="auto"/>
        <w:ind w:left="-30"/>
        <w:jc w:val="left"/>
      </w:pPr>
      <w:bookmarkStart w:id="13" w:name="author"/>
      <w:r>
        <w:rPr>
          <w:rFonts w:eastAsia="source serif 4" w:cs="source serif 4" w:ascii="source serif 4" w:hAnsi="source serif 4"/>
          <w:b/>
          <w:color w:val="000000"/>
          <w:sz w:val="24"/>
        </w:rPr>
        <w:t xml:space="preserve">Author</w:t>
      </w:r>
      <w:bookmarkEnd w:id="13"/>
    </w:p>
    <w:p>
      <w:pPr>
        <w:spacing w:line="360" w:after="210" w:lineRule="auto"/>
      </w:pPr>
      <w:r>
        <w:rPr>
          <w:rFonts w:eastAsia="source serif 4" w:cs="source serif 4" w:ascii="source serif 4" w:hAnsi="source serif 4"/>
          <w:color w:val="000000"/>
        </w:rPr>
        <w:t xml:space="preserve">Add the project author or team name here.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2026-09-21T07:20:13.304Z</dcterms:created>
  <dcterms:modified xsi:type="dcterms:W3CDTF">2026-09-21T07:20:13.304Z</dcterms:modified>
</cp:coreProperties>
</file>