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SUMMARY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Test summary report is used to clarify the testing activities that happened for the Web Application for the TutorialsNinja app Web Application in the period from (11-07-2024) to (11-08-2024).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goals of this reports are to show the following: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• Status of test cases executed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• Deflects found &amp;amp; their status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• Suggestions for next period of testing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EXECUTION 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the status of all the test cases that are run on the Web Application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Test Case 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Build Result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Total Number of Test Case                                                       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Passed Test Case                                                                     13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Failed Test Case                                                                        03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Blocked / Skipped Test Case                                                     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DEFECTS STATUS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table lists the number of defects in the based on their priority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Defect Status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Build Result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 number                                                                          05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Blocker                                                                                   01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Critical                                                                                    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Major                                                                                      02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Minor                                                                                      02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table lists the number of defects in the based on their type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Defect 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Build Result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Total number                                                                           05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Functional                                                                               03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UI/UX                                                                                      02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Performance                                                                           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Suggestions for forgot functionality in next period of testing: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It should not log in with any different password.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It should be able to see the border of the given table in the forgot password page.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It should not change the password before registering in the application.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It should not take any invalid email i’d.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