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44"/>
          <w:szCs w:val="44"/>
        </w:rPr>
        <w:t xml:space="preserve">Empower Care</w:t>
      </w:r>
    </w:p>
    <w:p>
      <w:pPr>
        <w:spacing w:after="0" w:before="1000"/>
      </w:pPr>
      <w:r>
        <w:rPr>
          <w:rFonts w:ascii="Aptos Display" w:cs="Aptos Display" w:eastAsia="Aptos Display" w:hAnsi="Aptos Display"/>
          <w:b/>
          <w:bCs/>
          <w:sz w:val="76"/>
          <w:szCs w:val="76"/>
        </w:rPr>
        <w:t xml:space="preserve">API Payload Encryption</w:t>
      </w:r>
    </w:p>
    <w:p>
      <w:pPr>
        <w:spacing w:after="0" w:before="60"/>
      </w:pPr>
      <w:r>
        <w:rPr>
          <w:sz w:val="44"/>
          <w:szCs w:val="44"/>
        </w:rPr>
        <w:t xml:space="preserve">Design Document</w:t>
      </w:r>
    </w:p>
    <w:p>
      <w:pPr>
        <w:spacing w:after="0" w:before="60"/>
      </w:pPr>
      <w:r>
        <w:rPr>
          <w:color w:val="808080"/>
          <w:sz w:val="28"/>
          <w:szCs w:val="28"/>
        </w:rPr>
        <w:t xml:space="preserve">v1.0 — September 2026</w:t>
      </w:r>
    </w:p>
    <w:p>
      <w:pPr>
        <w:spacing w:after="80" w:before="1800"/>
      </w:pPr>
      <w:r>
        <w:rPr>
          <w:b/>
          <w:bCs/>
          <w:sz w:val="20"/>
          <w:szCs w:val="20"/>
        </w:rPr>
        <w:t xml:space="preserve">Submitted By</w:t>
      </w:r>
    </w:p>
    <w:p>
      <w:r>
        <w:drawing>
          <wp:inline distT="0" distB="0" distL="0" distR="0">
            <wp:extent cx="1238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76250"/>
                    </a:xfrm>
                    <a:prstGeom prst="rect">
                      <a:avLst/>
                    </a:prstGeom>
                  </pic:spPr>
                </pic:pic>
              </a:graphicData>
            </a:graphic>
          </wp:inline>
        </w:drawing>
      </w:r>
    </w:p>
    <w:p>
      <w:pPr>
        <w:spacing w:after="60" w:before="2200"/>
      </w:pPr>
      <w:r>
        <w:rPr>
          <w:color w:val="808080"/>
          <w:sz w:val="18"/>
          <w:szCs w:val="18"/>
        </w:rPr>
        <w:t xml:space="preserve">The information contained in the document is confidential, privileged and only for the information of the intended recipient and may not be used, published or redistributed without the prior written consent of LUMIQ. This proposal is the property of LUMIQ. No part of this document, including all concepts and ideas contained herein, may be reproduced or transmitted in any form, or by any means, electronic or mechanical, for any purpose without the express written permission of LUMIQ. Any non-consensual use, copying, republication or redistribution of contents contained in this document is expressly prohibited and are protected under applicable law.</w:t>
      </w:r>
    </w:p>
    <w:p>
      <w:r>
        <w:rPr>
          <w:color w:val="808080"/>
          <w:sz w:val="18"/>
          <w:szCs w:val="18"/>
        </w:rPr>
        <w:t xml:space="preserve">All rights reserved.</w:t>
      </w:r>
    </w:p>
    <w:p>
      <w:r>
        <w:br w:type="page"/>
      </w:r>
    </w:p>
    <w:p>
      <w:pPr>
        <w:pStyle w:val="Heading1"/>
      </w:pPr>
      <w:r>
        <w:t xml:space="preserve">1. Summary</w:t>
      </w:r>
    </w:p>
    <w:p>
      <w:pPr>
        <w:spacing w:after="120"/>
      </w:pPr>
      <w:r>
        <w:t xml:space="preserve">Every Empower Care API will carry encrypted payloads in both directions, per vendor, without changing any business logic. A single Python decorator, </w:t>
      </w:r>
      <w:r>
        <w:rPr>
          <w:rFonts w:ascii="Consolas" w:cs="Consolas" w:eastAsia="Consolas" w:hAnsi="Consolas"/>
          <w:sz w:val="20"/>
          <w:szCs w:val="20"/>
        </w:rPr>
        <w:t xml:space="preserve">@secure_api()</w:t>
      </w:r>
      <w:r>
        <w:t xml:space="preserve">, is added to each Lambda handler. It decrypts the vendor's request on the way in and encrypts the reply on the way out.</w:t>
      </w:r>
    </w:p>
    <w:p>
      <w:pPr>
        <w:pStyle w:val="ListParagraph"/>
        <w:numPr>
          <w:ilvl w:val="0"/>
          <w:numId w:val="2"/>
        </w:numPr>
        <w:spacing w:after="60"/>
      </w:pPr>
      <w:r>
        <w:rPr>
          <w:b/>
          <w:bCs/>
        </w:rPr>
        <w:t xml:space="preserve">One field in, two fields out.</w:t>
      </w:r>
      <w:r>
        <w:t xml:space="preserve"> Vendors send </w:t>
      </w:r>
      <w:r>
        <w:rPr>
          <w:rFonts w:ascii="Consolas" w:cs="Consolas" w:eastAsia="Consolas" w:hAnsi="Consolas"/>
          <w:sz w:val="20"/>
          <w:szCs w:val="20"/>
        </w:rPr>
        <w:t xml:space="preserve">{"request_key": "label.iv.ciphertext.tag"}</w:t>
      </w:r>
      <w:r>
        <w:t xml:space="preserve">. They receive </w:t>
      </w:r>
      <w:r>
        <w:rPr>
          <w:rFonts w:ascii="Consolas" w:cs="Consolas" w:eastAsia="Consolas" w:hAnsi="Consolas"/>
          <w:sz w:val="20"/>
          <w:szCs w:val="20"/>
        </w:rPr>
        <w:t xml:space="preserve">{"response_key": "...", "response_value": "..."}</w:t>
      </w:r>
      <w:r>
        <w:t xml:space="preserve">.</w:t>
      </w:r>
    </w:p>
    <w:p>
      <w:pPr>
        <w:pStyle w:val="ListParagraph"/>
        <w:numPr>
          <w:ilvl w:val="0"/>
          <w:numId w:val="2"/>
        </w:numPr>
        <w:spacing w:after="60"/>
      </w:pPr>
      <w:r>
        <w:rPr>
          <w:b/>
          <w:bCs/>
        </w:rPr>
        <w:t xml:space="preserve">One key per vendor.</w:t>
      </w:r>
      <w:r>
        <w:t xml:space="preserve"> Each of the 36 vendors has its own AES-256 key in AWS Secrets Manager. The </w:t>
      </w:r>
      <w:r>
        <w:rPr>
          <w:rFonts w:ascii="Consolas" w:cs="Consolas" w:eastAsia="Consolas" w:hAnsi="Consolas"/>
          <w:sz w:val="20"/>
          <w:szCs w:val="20"/>
        </w:rPr>
        <w:t xml:space="preserve">X-Vendor-Id</w:t>
      </w:r>
      <w:r>
        <w:t xml:space="preserve"> header selects it, and the key is cached for 5 minutes in each Lambda.</w:t>
      </w:r>
    </w:p>
    <w:p>
      <w:pPr>
        <w:pStyle w:val="ListParagraph"/>
        <w:numPr>
          <w:ilvl w:val="0"/>
          <w:numId w:val="2"/>
        </w:numPr>
        <w:spacing w:after="60"/>
      </w:pPr>
      <w:r>
        <w:rPr>
          <w:b/>
          <w:bCs/>
        </w:rPr>
        <w:t xml:space="preserve">No logic change.</w:t>
      </w:r>
      <w:r>
        <w:t xml:space="preserve"> The handler reads plain JSON from the same place as today and returns what it returns today.</w:t>
      </w:r>
    </w:p>
    <w:p>
      <w:pPr>
        <w:pStyle w:val="ListParagraph"/>
        <w:numPr>
          <w:ilvl w:val="0"/>
          <w:numId w:val="2"/>
        </w:numPr>
        <w:spacing w:after="60"/>
      </w:pPr>
      <w:r>
        <w:rPr>
          <w:b/>
          <w:bCs/>
        </w:rPr>
        <w:t xml:space="preserve">Built on design v3.0.</w:t>
      </w:r>
      <w:r>
        <w:t xml:space="preserve"> The request label is authenticated, replays are blocked, each reply uses a fresh one-time key, and errors are returned as fixed CRY codes.</w:t>
      </w:r>
    </w:p>
    <w:p>
      <w:pPr>
        <w:pStyle w:val="ListParagraph"/>
        <w:numPr>
          <w:ilvl w:val="0"/>
          <w:numId w:val="2"/>
        </w:numPr>
        <w:spacing w:after="60"/>
      </w:pPr>
      <w:r>
        <w:rPr>
          <w:b/>
          <w:bCs/>
        </w:rPr>
        <w:t xml:space="preserve">Proven end to end.</w:t>
      </w:r>
      <w:r>
        <w:t xml:space="preserve"> A reference API (</w:t>
      </w:r>
      <w:r>
        <w:rPr>
          <w:rFonts w:ascii="Consolas" w:cs="Consolas" w:eastAsia="Consolas" w:hAnsi="Consolas"/>
          <w:sz w:val="20"/>
          <w:szCs w:val="20"/>
        </w:rPr>
        <w:t xml:space="preserve">hello-udit-test</w:t>
      </w:r>
      <w:r>
        <w:t xml:space="preserve">, ap-south-1) runs on the layer. 36 unit tests pass, and live calls were checked for success, replay, missing header, unknown vendor and plaintext.</w:t>
      </w:r>
    </w:p>
    <w:p>
      <w:pPr>
        <w:spacing w:after="60"/>
      </w:pPr>
    </w:p>
    <w:p>
      <w:pPr>
        <w:pStyle w:val="Heading2"/>
      </w:pPr>
      <w:r>
        <w:t xml:space="preserve">Decisions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3811"/>
        <w:gridCol w:w="4714"/>
      </w:tblGrid>
      <w:tr>
        <w:trPr>
          <w:tblHeader/>
        </w:trPr>
        <w:tc>
          <w:tcPr>
            <w:tcW w:type="dxa" w:w="501"/>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t>
            </w:r>
          </w:p>
        </w:tc>
        <w:tc>
          <w:tcPr>
            <w:tcW w:type="dxa" w:w="3811"/>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Decision</w:t>
            </w:r>
          </w:p>
        </w:tc>
        <w:tc>
          <w:tcPr>
            <w:tcW w:type="dxa" w:w="4714"/>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Recommendation</w:t>
            </w:r>
          </w:p>
        </w:tc>
      </w:tr>
      <w:tr>
        <w:trPr>
          <w:cantSplit/>
        </w:trPr>
        <w:tc>
          <w:tcPr>
            <w:tcW w:type="dxa" w:w="50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w:t>
            </w:r>
          </w:p>
        </w:tc>
        <w:tc>
          <w:tcPr>
            <w:tcW w:type="dxa" w:w="381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One secret per vendor, or one secret holding all 36 keys</w:t>
            </w:r>
          </w:p>
        </w:tc>
        <w:tc>
          <w:tcPr>
            <w:tcW w:type="dxa" w:w="4714"/>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vendor: about USD 14.40 a month. It gives per-vendor rotation, access control and a smaller blast radius</w:t>
            </w:r>
          </w:p>
        </w:tc>
      </w:tr>
      <w:tr>
        <w:trPr>
          <w:cantSplit/>
        </w:trPr>
        <w:tc>
          <w:tcPr>
            <w:tcW w:type="dxa" w:w="50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2</w:t>
            </w:r>
          </w:p>
        </w:tc>
        <w:tc>
          <w:tcPr>
            <w:tcW w:type="dxa" w:w="381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Migration window for vendors that are not ready</w:t>
            </w:r>
          </w:p>
        </w:tc>
        <w:tc>
          <w:tcPr>
            <w:tcW w:type="dxa" w:w="4714"/>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Add a per-vendor plaintext allow-list for a fixed window (not built yet, see section 11)</w:t>
            </w:r>
          </w:p>
        </w:tc>
      </w:tr>
      <w:tr>
        <w:trPr>
          <w:cantSplit/>
        </w:trPr>
        <w:tc>
          <w:tcPr>
            <w:tcW w:type="dxa" w:w="50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3</w:t>
            </w:r>
          </w:p>
        </w:tc>
        <w:tc>
          <w:tcPr>
            <w:tcW w:type="dxa" w:w="3811"/>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Differences from design v3.0 (section 10)</w:t>
            </w:r>
          </w:p>
        </w:tc>
        <w:tc>
          <w:tcPr>
            <w:tcW w:type="dxa" w:w="4714"/>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Approve and fold into v3.1 before external vendors onboard</w:t>
            </w:r>
          </w:p>
        </w:tc>
      </w:tr>
    </w:tbl>
    <w:p>
      <w:pPr>
        <w:spacing w:after="200" w:before="60"/>
      </w:pPr>
      <w:r>
        <w:rPr>
          <w:i/>
          <w:iCs/>
          <w:color w:val="808080"/>
          <w:sz w:val="20"/>
          <w:szCs w:val="20"/>
        </w:rPr>
        <w:t xml:space="preserve">Table 1. Open decisions</w:t>
      </w:r>
    </w:p>
    <w:p>
      <w:pPr>
        <w:pStyle w:val="Heading1"/>
      </w:pPr>
      <w:r>
        <w:t xml:space="preserve">2. Scope and goals</w:t>
      </w:r>
    </w:p>
    <w:p>
      <w:pPr>
        <w:pStyle w:val="Heading2"/>
      </w:pPr>
      <w:r>
        <w:t xml:space="preserve">Goals</w:t>
      </w:r>
    </w:p>
    <w:p>
      <w:pPr>
        <w:pStyle w:val="ListParagraph"/>
        <w:numPr>
          <w:ilvl w:val="0"/>
          <w:numId w:val="2"/>
        </w:numPr>
        <w:spacing w:after="60"/>
      </w:pPr>
      <w:r>
        <w:t xml:space="preserve">Protect request and response bodies end to end between the vendor and the Lambda, beyond TLS, API Gateway logs and intermediaries.</w:t>
      </w:r>
    </w:p>
    <w:p>
      <w:pPr>
        <w:pStyle w:val="ListParagraph"/>
        <w:numPr>
          <w:ilvl w:val="0"/>
          <w:numId w:val="2"/>
        </w:numPr>
        <w:spacing w:after="60"/>
      </w:pPr>
      <w:r>
        <w:t xml:space="preserve">Bind each message to its vendor, API path, method and time, so a message cannot be replayed, redirected or reused.</w:t>
      </w:r>
    </w:p>
    <w:p>
      <w:pPr>
        <w:pStyle w:val="ListParagraph"/>
        <w:numPr>
          <w:ilvl w:val="0"/>
          <w:numId w:val="2"/>
        </w:numPr>
        <w:spacing w:after="60"/>
      </w:pPr>
      <w:r>
        <w:t xml:space="preserve">Adopt across 50+ existing APIs with a two-line code change and a template change per API.</w:t>
      </w:r>
    </w:p>
    <w:p>
      <w:pPr>
        <w:pStyle w:val="ListParagraph"/>
        <w:numPr>
          <w:ilvl w:val="0"/>
          <w:numId w:val="2"/>
        </w:numPr>
        <w:spacing w:after="60"/>
      </w:pPr>
      <w:r>
        <w:t xml:space="preserve">Support 36 vendors with independent keys and rotation without downtime.</w:t>
      </w:r>
    </w:p>
    <w:p>
      <w:pPr>
        <w:spacing w:after="60"/>
      </w:pPr>
    </w:p>
    <w:p>
      <w:pPr>
        <w:pStyle w:val="Heading2"/>
      </w:pPr>
      <w:r>
        <w:t xml:space="preserve">Out of scope</w:t>
      </w:r>
    </w:p>
    <w:p>
      <w:pPr>
        <w:pStyle w:val="ListParagraph"/>
        <w:numPr>
          <w:ilvl w:val="0"/>
          <w:numId w:val="2"/>
        </w:numPr>
        <w:spacing w:after="60"/>
      </w:pPr>
      <w:r>
        <w:t xml:space="preserve">Authentication and authorisation. The existing authorizer stays in front of every API; the vendor header only selects a key.</w:t>
      </w:r>
    </w:p>
    <w:p>
      <w:pPr>
        <w:pStyle w:val="ListParagraph"/>
        <w:numPr>
          <w:ilvl w:val="0"/>
          <w:numId w:val="2"/>
        </w:numPr>
        <w:spacing w:after="60"/>
      </w:pPr>
      <w:r>
        <w:t xml:space="preserve">Encryption of query strings, path parameters and headers. Only bodies are encrypted.</w:t>
      </w:r>
    </w:p>
    <w:p>
      <w:pPr>
        <w:pStyle w:val="ListParagraph"/>
        <w:numPr>
          <w:ilvl w:val="0"/>
          <w:numId w:val="2"/>
        </w:numPr>
        <w:spacing w:after="60"/>
      </w:pPr>
      <w:r>
        <w:t xml:space="preserve">Key distribution to vendors. Keys are handed over out of band, through the existing secure channel.</w:t>
      </w:r>
    </w:p>
    <w:p>
      <w:pPr>
        <w:spacing w:after="60"/>
      </w:pPr>
    </w:p>
    <w:p>
      <w:pPr>
        <w:pStyle w:val="Heading1"/>
      </w:pPr>
      <w:r>
        <w:t xml:space="preserve">3. Architecture</w:t>
      </w:r>
    </w:p>
    <w:p>
      <w:pPr>
        <w:spacing w:after="120"/>
      </w:pPr>
      <w:r>
        <w:t xml:space="preserve">The decorator sits between API Gateway and the handler. It needs two AWS services: Secrets Manager for vendor keys and DynamoDB for replay protection. API Gateway configuration and business code stay as they are.</w:t>
      </w:r>
    </w:p>
    <w:p>
      <w:pPr>
        <w:keepNext/>
        <w:spacing w:after="40" w:before="120"/>
      </w:pPr>
      <w:r>
        <w:drawing>
          <wp:inline distT="0" distB="0" distL="0" distR="0">
            <wp:extent cx="57340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295525"/>
                    </a:xfrm>
                    <a:prstGeom prst="rect">
                      <a:avLst/>
                    </a:prstGeom>
                  </pic:spPr>
                </pic:pic>
              </a:graphicData>
            </a:graphic>
          </wp:inline>
        </w:drawing>
      </w:r>
    </w:p>
    <w:p>
      <w:pPr>
        <w:spacing w:after="200"/>
      </w:pPr>
      <w:r>
        <w:rPr>
          <w:i/>
          <w:iCs/>
          <w:color w:val="808080"/>
          <w:sz w:val="20"/>
          <w:szCs w:val="20"/>
        </w:rPr>
        <w:t xml:space="preserve">Figure 1. End-to-end flow of one API call</w:t>
      </w:r>
    </w:p>
    <w:p>
      <w:pPr>
        <w:spacing w:after="120"/>
      </w:pPr>
      <w:r>
        <w:t xml:space="preserve">Deployment has two parts. A shared stack is deployed once per account and region. It holds the Lambda layer, the replay table and an IAM policy, and exports all three. Each API stack imports them.</w:t>
      </w:r>
    </w:p>
    <w:p>
      <w:pPr>
        <w:keepNext/>
        <w:spacing w:after="40" w:before="120"/>
      </w:pPr>
      <w:r>
        <w:drawing>
          <wp:inline distT="0" distB="0" distL="0" distR="0">
            <wp:extent cx="57340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543175"/>
                    </a:xfrm>
                    <a:prstGeom prst="rect">
                      <a:avLst/>
                    </a:prstGeom>
                  </pic:spPr>
                </pic:pic>
              </a:graphicData>
            </a:graphic>
          </wp:inline>
        </w:drawing>
      </w:r>
    </w:p>
    <w:p>
      <w:pPr>
        <w:spacing w:after="200"/>
      </w:pPr>
      <w:r>
        <w:rPr>
          <w:i/>
          <w:iCs/>
          <w:color w:val="808080"/>
          <w:sz w:val="20"/>
          <w:szCs w:val="20"/>
        </w:rPr>
        <w:t xml:space="preserve">Figure 2. Shared stack, vendor secrets and per-API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2526"/>
      </w:tblGrid>
      <w:tr>
        <w:trPr>
          <w:tblHeader/>
        </w:trPr>
        <w:tc>
          <w:tcPr>
            <w:tcW w:type="dxa" w:w="23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Component</w:t>
            </w:r>
          </w:p>
        </w:tc>
        <w:tc>
          <w:tcPr>
            <w:tcW w:type="dxa" w:w="23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Type</w:t>
            </w:r>
          </w:p>
        </w:tc>
        <w:tc>
          <w:tcPr>
            <w:tcW w:type="dxa" w:w="19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Deployed</w:t>
            </w:r>
          </w:p>
        </w:tc>
        <w:tc>
          <w:tcPr>
            <w:tcW w:type="dxa" w:w="25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Purpose</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payload_crypto layer</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Lambda layer (Python 3.12, x86_64)</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(shared stack)</w:t>
            </w:r>
          </w:p>
        </w:tc>
        <w:tc>
          <w:tcPr>
            <w:tcW w:type="dxa" w:w="2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The decorators plus the cryptography library</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Nonce table</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DynamoDB, on demand, TTL</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(shared stack)</w:t>
            </w:r>
          </w:p>
        </w:tc>
        <w:tc>
          <w:tcPr>
            <w:tcW w:type="dxa" w:w="2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Records each request id (jti) for 5 minutes to block replays</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 policy</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IAM managed policy</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(shared stack)</w:t>
            </w:r>
          </w:p>
        </w:tc>
        <w:tc>
          <w:tcPr>
            <w:tcW w:type="dxa" w:w="2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Read vendor secrets, write nonces</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payload-keys/&lt;VENDOR&gt;</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Secrets Manager secret</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per vendor (36)</w:t>
            </w:r>
          </w:p>
        </w:tc>
        <w:tc>
          <w:tcPr>
            <w:tcW w:type="dxa" w:w="2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AES-256 key, current and previous</w:t>
            </w:r>
          </w:p>
        </w:tc>
      </w:tr>
      <w:tr>
        <w:trPr>
          <w:cantSplit/>
        </w:trPr>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@secure_api()</w:t>
            </w:r>
          </w:p>
        </w:tc>
        <w:tc>
          <w:tcPr>
            <w:tcW w:type="dxa" w:w="2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Decorator on the handler</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API (50+)</w:t>
            </w:r>
          </w:p>
        </w:tc>
        <w:tc>
          <w:tcPr>
            <w:tcW w:type="dxa" w:w="2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Decrypts in, encrypts out</w:t>
            </w:r>
          </w:p>
        </w:tc>
      </w:tr>
    </w:tbl>
    <w:p>
      <w:pPr>
        <w:spacing w:after="200" w:before="60"/>
      </w:pPr>
      <w:r>
        <w:rPr>
          <w:i/>
          <w:iCs/>
          <w:color w:val="808080"/>
          <w:sz w:val="20"/>
          <w:szCs w:val="20"/>
        </w:rPr>
        <w:t xml:space="preserve">Table 2. Components</w:t>
      </w:r>
    </w:p>
    <w:p>
      <w:pPr>
        <w:pStyle w:val="Heading1"/>
      </w:pPr>
      <w:r>
        <w:t xml:space="preserve">4. Wire format</w:t>
      </w:r>
    </w:p>
    <w:p>
      <w:pPr>
        <w:pStyle w:val="Heading2"/>
      </w:pPr>
      <w:r>
        <w:t xml:space="preserve">4.1 Request</w:t>
      </w:r>
    </w:p>
    <w:p>
      <w:pPr>
        <w:spacing w:after="120"/>
      </w:pPr>
      <w:r>
        <w:t xml:space="preserve">The vendor sends the header </w:t>
      </w:r>
      <w:r>
        <w:rPr>
          <w:rFonts w:ascii="Consolas" w:cs="Consolas" w:eastAsia="Consolas" w:hAnsi="Consolas"/>
          <w:sz w:val="20"/>
          <w:szCs w:val="20"/>
        </w:rPr>
        <w:t xml:space="preserve">X-Vendor-Id: &lt;VENDOR&gt;</w:t>
      </w:r>
      <w:r>
        <w:t xml:space="preserve"> and a body with exactly one field, </w:t>
      </w:r>
      <w:r>
        <w:rPr>
          <w:rFonts w:ascii="Consolas" w:cs="Consolas" w:eastAsia="Consolas" w:hAnsi="Consolas"/>
          <w:sz w:val="20"/>
          <w:szCs w:val="20"/>
        </w:rPr>
        <w:t xml:space="preserve">request_key</w:t>
      </w:r>
      <w:r>
        <w:t xml:space="preserve">. Its value is four base64url segments joined by dots: </w:t>
      </w:r>
      <w:r>
        <w:rPr>
          <w:rFonts w:ascii="Consolas" w:cs="Consolas" w:eastAsia="Consolas" w:hAnsi="Consolas"/>
          <w:sz w:val="20"/>
          <w:szCs w:val="20"/>
        </w:rPr>
        <w:t xml:space="preserve">label.iv.ciphertext.tag</w:t>
      </w:r>
      <w:r>
        <w:t xml:space="preserve">.</w:t>
      </w:r>
    </w:p>
    <w:p>
      <w:pPr>
        <w:keepNext/>
        <w:spacing w:after="40" w:before="120"/>
      </w:pPr>
      <w:r>
        <w:drawing>
          <wp:inline distT="0" distB="0" distL="0" distR="0">
            <wp:extent cx="57340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924050"/>
                    </a:xfrm>
                    <a:prstGeom prst="rect">
                      <a:avLst/>
                    </a:prstGeom>
                  </pic:spPr>
                </pic:pic>
              </a:graphicData>
            </a:graphic>
          </wp:inline>
        </w:drawing>
      </w:r>
    </w:p>
    <w:p>
      <w:pPr>
        <w:spacing w:after="200"/>
      </w:pPr>
      <w:r>
        <w:rPr>
          <w:i/>
          <w:iCs/>
          <w:color w:val="808080"/>
          <w:sz w:val="20"/>
          <w:szCs w:val="20"/>
        </w:rPr>
        <w:t xml:space="preserve">Figure 3. Anatomy of request_key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Label field</w:t>
            </w:r>
          </w:p>
        </w:tc>
        <w:tc>
          <w:tcPr>
            <w:tcW w:type="dxa" w:w="3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Meaning</w:t>
            </w:r>
          </w:p>
        </w:tc>
        <w:tc>
          <w:tcPr>
            <w:tcW w:type="dxa" w:w="38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Server check</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v</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Format version, always 1</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Must be 1, else CRY400</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alg</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Always </w:t>
            </w:r>
            <w:r>
              <w:rPr>
                <w:rFonts w:ascii="Consolas" w:cs="Consolas" w:eastAsia="Consolas" w:hAnsi="Consolas"/>
                <w:sz w:val="20"/>
                <w:szCs w:val="20"/>
              </w:rPr>
              <w:t xml:space="preserve">A256GCM</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Else CRY401</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kid</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id, e.g. </w:t>
            </w:r>
            <w:r>
              <w:rPr>
                <w:rFonts w:ascii="Consolas" w:cs="Consolas" w:eastAsia="Consolas" w:hAnsi="Consolas"/>
                <w:sz w:val="20"/>
                <w:szCs w:val="20"/>
              </w:rPr>
              <w:t xml:space="preserve">ACME-v1</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Current or previous key id, else CRY410</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cid</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id</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Must equal the X-Vendor-Id header, else CRY412</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pth</w:t>
            </w:r>
            <w:r>
              <w:rPr>
                <w:sz w:val="22"/>
                <w:szCs w:val="22"/>
              </w:rPr>
              <w:t xml:space="preserve">, </w:t>
            </w:r>
            <w:r>
              <w:rPr>
                <w:rFonts w:ascii="Consolas" w:cs="Consolas" w:eastAsia="Consolas" w:hAnsi="Consolas"/>
                <w:sz w:val="20"/>
                <w:szCs w:val="20"/>
              </w:rPr>
              <w:t xml:space="preserve">mtd</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API path (no stage) and HTTP method</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Must equal this API, else CRY412</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iat</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Unix time the request was sealed</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Within ±5 minutes, else CRY413</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jti</w:t>
            </w:r>
          </w:p>
        </w:tc>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Unique id for this request</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First use only, else CRY409</w:t>
            </w:r>
          </w:p>
        </w:tc>
      </w:tr>
    </w:tbl>
    <w:p>
      <w:pPr>
        <w:spacing w:after="200" w:before="60"/>
      </w:pPr>
      <w:r>
        <w:rPr>
          <w:i/>
          <w:iCs/>
          <w:color w:val="808080"/>
          <w:sz w:val="20"/>
          <w:szCs w:val="20"/>
        </w:rPr>
        <w:t xml:space="preserve">Table 3. Request label</w:t>
      </w:r>
    </w:p>
    <w:p>
      <w:pPr>
        <w:spacing w:after="120"/>
      </w:pPr>
      <w:r>
        <w:t xml:space="preserve">The ciphertext is AES-256-GCM over the UTF-8 JSON body, using the vendor key and a random 12-byte IV. The </w:t>
      </w:r>
      <w:r>
        <w:rPr>
          <w:b/>
          <w:bCs/>
        </w:rPr>
        <w:t xml:space="preserve">label segment string is the additional authenticated data (AAD)</w:t>
      </w:r>
      <w:r>
        <w:t xml:space="preserve">, so changing any label field, or pairing a label with another request's ciphertext, fails decryption.</w:t>
      </w:r>
    </w:p>
    <w:p>
      <w:pPr>
        <w:pStyle w:val="Heading2"/>
      </w:pPr>
      <w:r>
        <w:t xml:space="preserve">4.2 Reply</w:t>
      </w:r>
    </w:p>
    <w:p>
      <w:pPr>
        <w:keepNext/>
        <w:spacing w:after="40" w:before="120"/>
      </w:pPr>
      <w:r>
        <w:drawing>
          <wp:inline distT="0" distB="0" distL="0" distR="0">
            <wp:extent cx="57340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047875"/>
                    </a:xfrm>
                    <a:prstGeom prst="rect">
                      <a:avLst/>
                    </a:prstGeom>
                  </pic:spPr>
                </pic:pic>
              </a:graphicData>
            </a:graphic>
          </wp:inline>
        </w:drawing>
      </w:r>
    </w:p>
    <w:p>
      <w:pPr>
        <w:spacing w:after="200"/>
      </w:pPr>
      <w:r>
        <w:rPr>
          <w:i/>
          <w:iCs/>
          <w:color w:val="808080"/>
          <w:sz w:val="20"/>
          <w:szCs w:val="20"/>
        </w:rPr>
        <w:t xml:space="preserve">Figure 4. Anatomy of the reply</w:t>
      </w:r>
    </w:p>
    <w:p>
      <w:pPr>
        <w:spacing w:after="120"/>
      </w:pPr>
      <w:r>
        <w:t xml:space="preserve">Each reply gets a fresh random 256-bit data key (DEK). The DEK is wrapped with the vendor key using AES-256-GCM. </w:t>
      </w:r>
      <w:r>
        <w:rPr>
          <w:rFonts w:ascii="Consolas" w:cs="Consolas" w:eastAsia="Consolas" w:hAnsi="Consolas"/>
          <w:sz w:val="20"/>
          <w:szCs w:val="20"/>
        </w:rPr>
        <w:t xml:space="preserve">response_key</w:t>
      </w:r>
      <w:r>
        <w:t xml:space="preserve"> carries the wrapped DEK plus its own label (cid, pth, mtd, iat, jti, kek_id). </w:t>
      </w:r>
      <w:r>
        <w:rPr>
          <w:rFonts w:ascii="Consolas" w:cs="Consolas" w:eastAsia="Consolas" w:hAnsi="Consolas"/>
          <w:sz w:val="20"/>
          <w:szCs w:val="20"/>
        </w:rPr>
        <w:t xml:space="preserve">response_value</w:t>
      </w:r>
      <w:r>
        <w:t xml:space="preserve"> is </w:t>
      </w:r>
      <w:r>
        <w:rPr>
          <w:rFonts w:ascii="Consolas" w:cs="Consolas" w:eastAsia="Consolas" w:hAnsi="Consolas"/>
          <w:sz w:val="20"/>
          <w:szCs w:val="20"/>
        </w:rPr>
        <w:t xml:space="preserve">iv | ciphertext | tag</w:t>
      </w:r>
      <w:r>
        <w:t xml:space="preserve"> of the raw-deflated JSON reply under the DEK, with the </w:t>
      </w:r>
      <w:r>
        <w:rPr>
          <w:rFonts w:ascii="Consolas" w:cs="Consolas" w:eastAsia="Consolas" w:hAnsi="Consolas"/>
          <w:sz w:val="20"/>
          <w:szCs w:val="20"/>
        </w:rPr>
        <w:t xml:space="preserve">response_key</w:t>
      </w:r>
      <w:r>
        <w:t xml:space="preserve"> string as AAD. The vendor key never encrypts data directly on the reply path.</w:t>
      </w:r>
    </w:p>
    <w:p>
      <w:pPr>
        <w:pStyle w:val="Heading1"/>
      </w:pPr>
      <w:r>
        <w:t xml:space="preserve">5. Cryptography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Item</w:t>
            </w:r>
          </w:p>
        </w:tc>
        <w:tc>
          <w:tcPr>
            <w:tcW w:type="dxa" w:w="33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Choice</w:t>
            </w:r>
          </w:p>
        </w:tc>
        <w:tc>
          <w:tcPr>
            <w:tcW w:type="dxa" w:w="37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Notes</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Cipher</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AES-256-GCM</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Authenticated encryption; 128-bit tag</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IV</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12 random bytes per message</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From the OS secure random source</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 encryption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Direct, vendor key</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as AAD; no compression</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Reply encryption</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Envelope: DEK per reply, wrapped with the vendor key</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response_key as AAD; raw deflate (RFC 1951) before encryption</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Encoding</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base64url without padding</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JSON with sorted keys and no spaces for labels</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size</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256-bit, one per vendor</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Stored as 64 hex characters</w:t>
            </w:r>
          </w:p>
        </w:tc>
      </w:tr>
      <w:tr>
        <w:trPr>
          <w:cantSplit/>
        </w:trP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Library</w:t>
            </w:r>
          </w:p>
        </w:tc>
        <w:tc>
          <w:tcPr>
            <w:tcW w:type="dxa" w:w="33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Python </w:t>
            </w:r>
            <w:r>
              <w:rPr>
                <w:rFonts w:ascii="Consolas" w:cs="Consolas" w:eastAsia="Consolas" w:hAnsi="Consolas"/>
                <w:sz w:val="20"/>
                <w:szCs w:val="20"/>
              </w:rPr>
              <w:t xml:space="preserve">cryptography</w:t>
            </w:r>
            <w:r>
              <w:rPr>
                <w:sz w:val="22"/>
                <w:szCs w:val="22"/>
              </w:rPr>
              <w:t xml:space="preserve"> 43.0.1</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Shipped in the layer; no custom crypto on the server</w:t>
            </w:r>
          </w:p>
        </w:tc>
      </w:tr>
    </w:tbl>
    <w:p>
      <w:pPr>
        <w:spacing w:after="200" w:before="60"/>
      </w:pPr>
      <w:r>
        <w:rPr>
          <w:i/>
          <w:iCs/>
          <w:color w:val="808080"/>
          <w:sz w:val="20"/>
          <w:szCs w:val="20"/>
        </w:rPr>
        <w:t xml:space="preserve">Table 4. Cryptographic choices</w:t>
      </w:r>
    </w:p>
    <w:p>
      <w:pPr>
        <w:pStyle w:val="Heading1"/>
      </w:pPr>
      <w:r>
        <w:t xml:space="preserve">6. Key management</w:t>
      </w:r>
    </w:p>
    <w:p>
      <w:pPr>
        <w:spacing w:after="120"/>
      </w:pPr>
      <w:r>
        <w:t xml:space="preserve">Each vendor has one Secrets Manager secret, named </w:t>
      </w:r>
      <w:r>
        <w:rPr>
          <w:rFonts w:ascii="Consolas" w:cs="Consolas" w:eastAsia="Consolas" w:hAnsi="Consolas"/>
          <w:sz w:val="20"/>
          <w:szCs w:val="20"/>
        </w:rPr>
        <w:t xml:space="preserve">payload-keys/&lt;VENDOR&gt;</w:t>
      </w:r>
      <w:r>
        <w:t xml:space="preserve"> by default (set by </w:t>
      </w:r>
      <w:r>
        <w:rPr>
          <w:rFonts w:ascii="Consolas" w:cs="Consolas" w:eastAsia="Consolas" w:hAnsi="Consolas"/>
          <w:sz w:val="20"/>
          <w:szCs w:val="20"/>
        </w:rPr>
        <w:t xml:space="preserve">PAYLOAD_KEY_SECRET_TEMPLATE</w:t>
      </w:r>
      <w:r>
        <w:t xml:space="preserve">):</w:t>
      </w:r>
    </w:p>
    <w:p>
      <w:pPr>
        <w:keepNext/>
        <w:keepLines/>
        <w:shd w:fill="F4F5F6" w:color="auto" w:val="clear"/>
        <w:spacing w:after="0" w:before="40" w:line="250"/>
        <w:ind w:left="120" w:right="120"/>
      </w:pPr>
      <w:r>
        <w:rPr>
          <w:rFonts w:ascii="Consolas" w:cs="Consolas" w:eastAsia="Consolas" w:hAnsi="Consolas"/>
          <w:sz w:val="17"/>
          <w:szCs w:val="17"/>
        </w:rPr>
        <w:t xml:space="preserve">{"key_id": "ACME-v1", "key_hex": "&lt;64 hex characters&gt;"}</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while rotating, also:</w:t>
      </w:r>
    </w:p>
    <w:p>
      <w:pPr>
        <w:keepNext w:val="false"/>
        <w:keepLines/>
        <w:shd w:fill="F4F5F6" w:color="auto" w:val="clear"/>
        <w:spacing w:after="160" w:before="0" w:line="250"/>
        <w:ind w:left="120" w:right="120"/>
      </w:pPr>
      <w:r>
        <w:rPr>
          <w:rFonts w:ascii="Consolas" w:cs="Consolas" w:eastAsia="Consolas" w:hAnsi="Consolas"/>
          <w:sz w:val="17"/>
          <w:szCs w:val="17"/>
        </w:rPr>
        <w:t xml:space="preserve">"previous_key_id": "ACME-v1", "previous_key_hex": "&lt;64 hex characters&gt;"</w:t>
      </w:r>
    </w:p>
    <w:p>
      <w:pPr>
        <w:pStyle w:val="ListParagraph"/>
        <w:numPr>
          <w:ilvl w:val="0"/>
          <w:numId w:val="2"/>
        </w:numPr>
        <w:spacing w:after="60"/>
      </w:pPr>
      <w:r>
        <w:rPr>
          <w:b/>
          <w:bCs/>
        </w:rPr>
        <w:t xml:space="preserve">Creation:</w:t>
      </w:r>
      <w:r>
        <w:t xml:space="preserve"> </w:t>
      </w:r>
      <w:r>
        <w:rPr>
          <w:rFonts w:ascii="Consolas" w:cs="Consolas" w:eastAsia="Consolas" w:hAnsi="Consolas"/>
          <w:sz w:val="20"/>
          <w:szCs w:val="20"/>
        </w:rPr>
        <w:t xml:space="preserve">scripts/vendor_key.py create ACME GLOBEX ...</w:t>
      </w:r>
      <w:r>
        <w:t xml:space="preserve"> generates keys from the OS random source and never prints them.</w:t>
      </w:r>
    </w:p>
    <w:p>
      <w:pPr>
        <w:pStyle w:val="ListParagraph"/>
        <w:numPr>
          <w:ilvl w:val="0"/>
          <w:numId w:val="2"/>
        </w:numPr>
        <w:spacing w:after="60"/>
      </w:pPr>
      <w:r>
        <w:rPr>
          <w:b/>
          <w:bCs/>
        </w:rPr>
        <w:t xml:space="preserve">Caching:</w:t>
      </w:r>
      <w:r>
        <w:t xml:space="preserve"> keys are cached in each Lambda container for 5 minutes. Unknown vendors are cached as misses for 60 seconds, so random names cannot flood Secrets Manager.</w:t>
      </w:r>
    </w:p>
    <w:p>
      <w:pPr>
        <w:pStyle w:val="ListParagraph"/>
        <w:numPr>
          <w:ilvl w:val="0"/>
          <w:numId w:val="2"/>
        </w:numPr>
        <w:spacing w:after="60"/>
      </w:pPr>
      <w:r>
        <w:rPr>
          <w:b/>
          <w:bCs/>
        </w:rPr>
        <w:t xml:space="preserve">Access:</w:t>
      </w:r>
      <w:r>
        <w:t xml:space="preserve"> only the shared IAM policy can read </w:t>
      </w:r>
      <w:r>
        <w:rPr>
          <w:rFonts w:ascii="Consolas" w:cs="Consolas" w:eastAsia="Consolas" w:hAnsi="Consolas"/>
          <w:sz w:val="20"/>
          <w:szCs w:val="20"/>
        </w:rPr>
        <w:t xml:space="preserve">payload-keys/*</w:t>
      </w:r>
      <w:r>
        <w:t xml:space="preserve">. Keys are never put in the Lambda event, logged or returned.</w:t>
      </w:r>
    </w:p>
    <w:p>
      <w:pPr>
        <w:pStyle w:val="ListParagraph"/>
        <w:numPr>
          <w:ilvl w:val="0"/>
          <w:numId w:val="2"/>
        </w:numPr>
        <w:spacing w:after="60"/>
      </w:pPr>
      <w:r>
        <w:rPr>
          <w:b/>
          <w:bCs/>
        </w:rPr>
        <w:t xml:space="preserve">Allow-list (optional):</w:t>
      </w:r>
      <w:r>
        <w:t xml:space="preserve"> </w:t>
      </w:r>
      <w:r>
        <w:rPr>
          <w:rFonts w:ascii="Consolas" w:cs="Consolas" w:eastAsia="Consolas" w:hAnsi="Consolas"/>
          <w:sz w:val="20"/>
          <w:szCs w:val="20"/>
        </w:rPr>
        <w:t xml:space="preserve">PAYLOAD_ALLOWED_VENDORS</w:t>
      </w:r>
      <w:r>
        <w:t xml:space="preserve"> refuses unknown vendor names before any AWS call.</w:t>
      </w:r>
    </w:p>
    <w:p>
      <w:pPr>
        <w:spacing w:after="60"/>
      </w:pPr>
    </w:p>
    <w:p>
      <w:pPr>
        <w:pStyle w:val="Heading2"/>
      </w:pPr>
      <w:r>
        <w:t xml:space="preserve">Rotation</w:t>
      </w:r>
    </w:p>
    <w:p>
      <w:pPr>
        <w:keepNext/>
        <w:spacing w:after="40" w:before="120"/>
      </w:pPr>
      <w:r>
        <w:drawing>
          <wp:inline distT="0" distB="0" distL="0" distR="0">
            <wp:extent cx="57340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352550"/>
                    </a:xfrm>
                    <a:prstGeom prst="rect">
                      <a:avLst/>
                    </a:prstGeom>
                  </pic:spPr>
                </pic:pic>
              </a:graphicData>
            </a:graphic>
          </wp:inline>
        </w:drawing>
      </w:r>
    </w:p>
    <w:p>
      <w:pPr>
        <w:spacing w:after="200"/>
      </w:pPr>
      <w:r>
        <w:rPr>
          <w:i/>
          <w:iCs/>
          <w:color w:val="808080"/>
          <w:sz w:val="20"/>
          <w:szCs w:val="20"/>
        </w:rPr>
        <w:t xml:space="preserve">Figure 5. Rotation in three steps, no downtime</w:t>
      </w:r>
    </w:p>
    <w:p>
      <w:pPr>
        <w:spacing w:after="120"/>
      </w:pPr>
      <w:r>
        <w:rPr>
          <w:rFonts w:ascii="Consolas" w:cs="Consolas" w:eastAsia="Consolas" w:hAnsi="Consolas"/>
          <w:sz w:val="20"/>
          <w:szCs w:val="20"/>
        </w:rPr>
        <w:t xml:space="preserve">vendor_key.py rotate ACME</w:t>
      </w:r>
      <w:r>
        <w:t xml:space="preserve"> makes a new current key and keeps the old one as previous. Requests sealed with either key are accepted, and replies always use the new key. After the vendor switches, </w:t>
      </w:r>
      <w:r>
        <w:rPr>
          <w:rFonts w:ascii="Consolas" w:cs="Consolas" w:eastAsia="Consolas" w:hAnsi="Consolas"/>
          <w:sz w:val="20"/>
          <w:szCs w:val="20"/>
        </w:rPr>
        <w:t xml:space="preserve">finish-rotation</w:t>
      </w:r>
      <w:r>
        <w:t xml:space="preserve"> drops the old key. Lambdas pick up a change within 5 minutes. For revocation, rotate and finish immediately.</w:t>
      </w:r>
    </w:p>
    <w:p>
      <w:pPr>
        <w:pStyle w:val="Heading1"/>
      </w:pPr>
      <w:r>
        <w:t xml:space="preserve">7. Request validation and errors</w:t>
      </w:r>
    </w:p>
    <w:p>
      <w:pPr>
        <w:spacing w:after="120"/>
      </w:pPr>
      <w:r>
        <w:t xml:space="preserve">Checks run cheapest first, so malformed or unauthorised traffic is rejected before any cryptography or database write. The request id (jti) is recorded before decryption, so a request can never be processed twice.</w:t>
      </w:r>
    </w:p>
    <w:p>
      <w:pPr>
        <w:keepNext/>
        <w:spacing w:after="40" w:before="120"/>
      </w:pPr>
      <w:r>
        <w:drawing>
          <wp:inline distT="0" distB="0" distL="0" distR="0">
            <wp:extent cx="57340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1352550"/>
                    </a:xfrm>
                    <a:prstGeom prst="rect">
                      <a:avLst/>
                    </a:prstGeom>
                  </pic:spPr>
                </pic:pic>
              </a:graphicData>
            </a:graphic>
          </wp:inline>
        </w:drawing>
      </w:r>
    </w:p>
    <w:p>
      <w:pPr>
        <w:spacing w:after="200"/>
      </w:pPr>
      <w:r>
        <w:rPr>
          <w:i/>
          <w:iCs/>
          <w:color w:val="808080"/>
          <w:sz w:val="20"/>
          <w:szCs w:val="20"/>
        </w:rPr>
        <w:t xml:space="preserve">Figure 6. Validation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3900"/>
        <w:gridCol w:w="3326"/>
      </w:tblGrid>
      <w:tr>
        <w:trPr>
          <w:tblHeader/>
        </w:trPr>
        <w:tc>
          <w:tcPr>
            <w:tcW w:type="dxa" w:w="10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Code</w:t>
            </w:r>
          </w:p>
        </w:tc>
        <w:tc>
          <w:tcPr>
            <w:tcW w:type="dxa" w:w="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HTTP</w:t>
            </w:r>
          </w:p>
        </w:tc>
        <w:tc>
          <w:tcPr>
            <w:tcW w:type="dxa" w:w="39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Message returned</w:t>
            </w:r>
          </w:p>
        </w:tc>
        <w:tc>
          <w:tcPr>
            <w:tcW w:type="dxa" w:w="33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Typical cause</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CRY400</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Malformed encrypted payload / X-Vendor-Id header is required</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Missing header, wrong shape, extra field</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CRY401</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Algorithm not permitted for this client</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alg is not A256GCM</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CRY409</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request_key already used</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Replay, or a retry without resealing</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CRY410</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expired or unknown</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Unknown vendor, or old kid after rotation</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CRY412</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 binding mismatch</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Header and label vendor differ; wrong path or method</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CRY413</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Message timestamp outside the accepted window</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clock off by more than 5 minutes</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CRY422</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 could not be decrypted</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Wrong key or tampered data</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CRY426</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Encryption required for this client</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Plain JSON sent</w:t>
            </w:r>
          </w:p>
        </w:tc>
      </w:tr>
      <w:tr>
        <w:trPr>
          <w:cantSplit/>
        </w:trPr>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CRY500</w:t>
            </w:r>
          </w:p>
        </w:tc>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500</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Platform crypto failure</w:t>
            </w:r>
          </w:p>
        </w:tc>
        <w:tc>
          <w:tcPr>
            <w:tcW w:type="dxa" w:w="33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Secrets Manager or DynamoDB unavailable; malformed secret</w:t>
            </w:r>
          </w:p>
        </w:tc>
      </w:tr>
    </w:tbl>
    <w:p>
      <w:pPr>
        <w:spacing w:after="200" w:before="60"/>
      </w:pPr>
      <w:r>
        <w:rPr>
          <w:i/>
          <w:iCs/>
          <w:color w:val="808080"/>
          <w:sz w:val="20"/>
          <w:szCs w:val="20"/>
        </w:rPr>
        <w:t xml:space="preserve">Table 5. Error codes</w:t>
      </w:r>
    </w:p>
    <w:p>
      <w:pPr>
        <w:spacing w:after="120"/>
      </w:pPr>
      <w:r>
        <w:t xml:space="preserve">Errors are returned in the clear, so a vendor with a broken key can still see why. The response carries only the code and a fixed message. The detail is written to CloudWatch as </w:t>
      </w:r>
      <w:r>
        <w:rPr>
          <w:rFonts w:ascii="Consolas" w:cs="Consolas" w:eastAsia="Consolas" w:hAnsi="Consolas"/>
          <w:sz w:val="20"/>
          <w:szCs w:val="20"/>
        </w:rPr>
        <w:t xml:space="preserve">payload_crypto rejected &lt;code&gt;: &lt;detail&gt;</w:t>
      </w:r>
      <w:r>
        <w:t xml:space="preserve">.</w:t>
      </w:r>
    </w:p>
    <w:p>
      <w:pPr>
        <w:pStyle w:val="Heading1"/>
      </w:pPr>
      <w:r>
        <w:t xml:space="preserve">8. Decorator design</w:t>
      </w:r>
    </w:p>
    <w:p>
      <w:pPr>
        <w:spacing w:after="120"/>
      </w:pPr>
      <w:r>
        <w:rPr>
          <w:rFonts w:ascii="Consolas" w:cs="Consolas" w:eastAsia="Consolas" w:hAnsi="Consolas"/>
          <w:sz w:val="20"/>
          <w:szCs w:val="20"/>
        </w:rPr>
        <w:t xml:space="preserve">@secure_api()</w:t>
      </w:r>
      <w:r>
        <w:t xml:space="preserve"> combines two decorators, and each can also be used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Decorator</w:t>
            </w:r>
          </w:p>
        </w:tc>
        <w:tc>
          <w:tcPr>
            <w:tcW w:type="dxa" w:w="56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Does</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@vendor_keys</w:t>
            </w:r>
          </w:p>
        </w:tc>
        <w:tc>
          <w:tcPr>
            <w:tcW w:type="dxa" w:w="5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Reads X-Vendor-Id, validates it, loads and caches the vendor keys, and holds them for this call only (Python contextvar, never in </w:t>
            </w:r>
            <w:r>
              <w:rPr>
                <w:rFonts w:ascii="Consolas" w:cs="Consolas" w:eastAsia="Consolas" w:hAnsi="Consolas"/>
                <w:sz w:val="20"/>
                <w:szCs w:val="20"/>
              </w:rPr>
              <w:t xml:space="preserve">event</w:t>
            </w:r>
            <w:r>
              <w:rPr>
                <w:sz w:val="22"/>
                <w:szCs w:val="22"/>
              </w:rPr>
              <w:t xml:space="preserve">)</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@encrypted_payload(path, method, plain_fields)</w:t>
            </w:r>
          </w:p>
        </w:tc>
        <w:tc>
          <w:tcPr>
            <w:tcW w:type="dxa" w:w="5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Works out the route, verifies and decrypts the request, calls the handler, then seals whatever it returns</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@secure_api(...)</w:t>
            </w:r>
          </w:p>
        </w:tc>
        <w:tc>
          <w:tcPr>
            <w:tcW w:type="dxa" w:w="56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Both, in the right order. Use this on every API</w:t>
            </w:r>
          </w:p>
        </w:tc>
      </w:tr>
    </w:tbl>
    <w:p>
      <w:pPr>
        <w:spacing w:after="200" w:before="60"/>
      </w:pPr>
      <w:r>
        <w:rPr>
          <w:i/>
          <w:iCs/>
          <w:color w:val="808080"/>
          <w:sz w:val="20"/>
          <w:szCs w:val="20"/>
        </w:rPr>
        <w:t xml:space="preserve">Table 6. Decorators</w:t>
      </w:r>
    </w:p>
    <w:p>
      <w:pPr>
        <w:pStyle w:val="Heading2"/>
      </w:pPr>
      <w:r>
        <w:t xml:space="preserve">Event shapes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API Gateway integration</w:t>
            </w:r>
          </w:p>
        </w:tc>
        <w:tc>
          <w:tcPr>
            <w:tcW w:type="dxa" w:w="19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Handler reads</w:t>
            </w:r>
          </w:p>
        </w:tc>
        <w:tc>
          <w:tcPr>
            <w:tcW w:type="dxa" w:w="19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Handler returns</w:t>
            </w:r>
          </w:p>
        </w:tc>
        <w:tc>
          <w:tcPr>
            <w:tcW w:type="dxa" w:w="28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Decorator behaviour</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HTTP API, REST proxy, function URL</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event["body"]</w:t>
            </w:r>
            <w:r>
              <w:rPr>
                <w:sz w:val="22"/>
                <w:szCs w:val="22"/>
              </w:rPr>
              <w:t xml:space="preserve"> string</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{statusCode, headers, body}</w:t>
            </w:r>
          </w:p>
        </w:tc>
        <w:tc>
          <w:tcPr>
            <w:tcW w:type="dxa" w:w="2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Replaces body with the decrypted JSON; seals body; keeps status and headers</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REST mapping template (</w:t>
            </w:r>
            <w:r>
              <w:rPr>
                <w:rFonts w:ascii="Consolas" w:cs="Consolas" w:eastAsia="Consolas" w:hAnsi="Consolas"/>
                <w:sz w:val="20"/>
                <w:szCs w:val="20"/>
              </w:rPr>
              <w:t xml:space="preserve">type: aws</w:t>
            </w:r>
            <w:r>
              <w:rPr>
                <w:sz w:val="22"/>
                <w:szCs w:val="22"/>
              </w:rPr>
              <w:t xml:space="preserve">)</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event["body-json"]</w:t>
            </w:r>
            <w:r>
              <w:rPr>
                <w:sz w:val="22"/>
                <w:szCs w:val="22"/>
              </w:rPr>
              <w:t xml:space="preserve"> dict</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dict</w:t>
            </w:r>
          </w:p>
        </w:tc>
        <w:tc>
          <w:tcPr>
            <w:tcW w:type="dxa" w:w="28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Replaces body-json; seals the whole dict; </w:t>
            </w:r>
            <w:r>
              <w:rPr>
                <w:rFonts w:ascii="Consolas" w:cs="Consolas" w:eastAsia="Consolas" w:hAnsi="Consolas"/>
                <w:sz w:val="20"/>
                <w:szCs w:val="20"/>
              </w:rPr>
              <w:t xml:space="preserve">plain_fields</w:t>
            </w:r>
            <w:r>
              <w:rPr>
                <w:sz w:val="22"/>
                <w:szCs w:val="22"/>
              </w:rPr>
              <w:t xml:space="preserve"> stay readable (e.g. </w:t>
            </w:r>
            <w:r>
              <w:rPr>
                <w:rFonts w:ascii="Consolas" w:cs="Consolas" w:eastAsia="Consolas" w:hAnsi="Consolas"/>
                <w:sz w:val="20"/>
                <w:szCs w:val="20"/>
              </w:rPr>
              <w:t xml:space="preserve">response_code</w:t>
            </w:r>
            <w:r>
              <w:rPr>
                <w:sz w:val="22"/>
                <w:szCs w:val="22"/>
              </w:rPr>
              <w:t xml:space="preserve">)</w:t>
            </w:r>
          </w:p>
        </w:tc>
      </w:tr>
    </w:tbl>
    <w:p>
      <w:pPr>
        <w:spacing w:after="200" w:before="60"/>
      </w:pPr>
      <w:r>
        <w:rPr>
          <w:i/>
          <w:iCs/>
          <w:color w:val="808080"/>
          <w:sz w:val="20"/>
          <w:szCs w:val="20"/>
        </w:rPr>
        <w:t xml:space="preserve">Table 7. Integration types</w:t>
      </w:r>
    </w:p>
    <w:p>
      <w:pPr>
        <w:pStyle w:val="ListParagraph"/>
        <w:numPr>
          <w:ilvl w:val="0"/>
          <w:numId w:val="2"/>
        </w:numPr>
        <w:spacing w:after="60"/>
      </w:pPr>
      <w:r>
        <w:t xml:space="preserve">GET, HEAD, DELETE and OPTIONS with no body are passed through, and the reply is still sealed.</w:t>
      </w:r>
    </w:p>
    <w:p>
      <w:pPr>
        <w:pStyle w:val="ListParagraph"/>
        <w:numPr>
          <w:ilvl w:val="0"/>
          <w:numId w:val="2"/>
        </w:numPr>
        <w:spacing w:after="60"/>
      </w:pPr>
      <w:r>
        <w:t xml:space="preserve">The path for the label comes from the event. A named HTTP API stage is stripped. It can be overridden with </w:t>
      </w:r>
      <w:r>
        <w:rPr>
          <w:rFonts w:ascii="Consolas" w:cs="Consolas" w:eastAsia="Consolas" w:hAnsi="Consolas"/>
          <w:sz w:val="20"/>
          <w:szCs w:val="20"/>
        </w:rPr>
        <w:t xml:space="preserve">path=</w:t>
      </w:r>
      <w:r>
        <w:t xml:space="preserve">.</w:t>
      </w:r>
    </w:p>
    <w:p>
      <w:pPr>
        <w:pStyle w:val="ListParagraph"/>
        <w:numPr>
          <w:ilvl w:val="0"/>
          <w:numId w:val="2"/>
        </w:numPr>
        <w:spacing w:after="60"/>
      </w:pPr>
      <w:r>
        <w:t xml:space="preserve">If sealing fails, the caller gets CRY500. The decorator never falls back to plaintext.</w:t>
      </w:r>
    </w:p>
    <w:p>
      <w:pPr>
        <w:pStyle w:val="ListParagraph"/>
        <w:numPr>
          <w:ilvl w:val="0"/>
          <w:numId w:val="2"/>
        </w:numPr>
        <w:spacing w:after="60"/>
      </w:pPr>
      <w:r>
        <w:t xml:space="preserve">Handler exceptions propagate unchanged. Existing error handling and alarms keep working.</w:t>
      </w:r>
    </w:p>
    <w:p>
      <w:pPr>
        <w:spacing w:after="60"/>
      </w:pPr>
    </w:p>
    <w:p>
      <w:pPr>
        <w:pStyle w:val="Heading1"/>
      </w:pPr>
      <w:r>
        <w:t xml:space="preserve">9. Security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Threat</w:t>
            </w:r>
          </w:p>
        </w:tc>
        <w:tc>
          <w:tcPr>
            <w:tcW w:type="dxa" w:w="54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Control</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 read in transit or in gateway logs</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Bodies encrypted with a per-vendor key; replies use a fresh DEK each time</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Replay of a captured request</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jti recorded in DynamoDB with a conditional write; ±5 minute iat window</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 redirected to another API or method</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pth and mtd in the authenticated label must match</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A impersonating vendor B via the header</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Header must equal the authenticated cid. A cannot seal for B or read B's replies</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or ciphertext tampering, splicing</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GCM tag over the ciphertext with the label as AAD; response_key as AAD on replies</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leak through handler logs</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Keys never enter the event; key objects hide key bytes from repr</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Secret lookups flooded with random vendor names</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Name validation, optional allow-list, 60-second miss cache, bounded cache</w:t>
            </w:r>
          </w:p>
        </w:tc>
      </w:tr>
      <w:tr>
        <w:trPr>
          <w:cantSplit/>
        </w:trP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Crypto dependency outage</w:t>
            </w:r>
          </w:p>
        </w:tc>
        <w:tc>
          <w:tcPr>
            <w:tcW w:type="dxa" w:w="5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Fail closed with CRY500; never plaintext</w:t>
            </w:r>
          </w:p>
        </w:tc>
      </w:tr>
    </w:tbl>
    <w:p>
      <w:pPr>
        <w:spacing w:after="200" w:before="60"/>
      </w:pPr>
      <w:r>
        <w:rPr>
          <w:i/>
          <w:iCs/>
          <w:color w:val="808080"/>
          <w:sz w:val="20"/>
          <w:szCs w:val="20"/>
        </w:rPr>
        <w:t xml:space="preserve">Table 8. Threats and controls</w:t>
      </w:r>
    </w:p>
    <w:p>
      <w:pPr>
        <w:pBdr>
          <w:left w:val="single" w:color="F36B1D" w:sz="18" w:space="8"/>
        </w:pBdr>
        <w:shd w:fill="FEF1E9" w:color="auto" w:val="clear"/>
        <w:spacing w:after="160" w:before="60"/>
        <w:ind w:left="160" w:right="160"/>
      </w:pPr>
      <w:r>
        <w:rPr>
          <w:b/>
          <w:bCs/>
        </w:rPr>
        <w:t xml:space="preserve">The vendor header is not authentication.</w:t>
      </w:r>
      <w:r>
        <w:t xml:space="preserve"> It only picks the key. The existing authorizer must stay in front of every API.</w:t>
      </w:r>
    </w:p>
    <w:p>
      <w:pPr>
        <w:pStyle w:val="Heading1"/>
      </w:pPr>
      <w:r>
        <w:t xml:space="preserve">10. Differences from design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26"/>
      </w:tblGrid>
      <w:tr>
        <w:trPr>
          <w:tblHeader/>
        </w:trPr>
        <w:tc>
          <w:tcPr>
            <w:tcW w:type="dxa" w:w="1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Area</w:t>
            </w:r>
          </w:p>
        </w:tc>
        <w:tc>
          <w:tcPr>
            <w:tcW w:type="dxa" w:w="2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Design v3.0</w:t>
            </w:r>
          </w:p>
        </w:tc>
        <w:tc>
          <w:tcPr>
            <w:tcW w:type="dxa" w:w="2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This implementation</w:t>
            </w:r>
          </w:p>
        </w:tc>
        <w:tc>
          <w:tcPr>
            <w:tcW w:type="dxa" w:w="24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Why</w:t>
            </w:r>
          </w:p>
        </w:tc>
      </w:tr>
      <w:tr>
        <w:trPr>
          <w:cantSplit/>
        </w:trP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 field</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request_value</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request_key</w:t>
            </w:r>
          </w:p>
        </w:tc>
        <w:tc>
          <w:tcPr>
            <w:tcW w:type="dxa" w:w="2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Agreed with the platform team</w:t>
            </w:r>
          </w:p>
        </w:tc>
      </w:tr>
      <w:tr>
        <w:trPr>
          <w:cantSplit/>
        </w:trP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source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Derived per vendor per 24h epoch from one master seed</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One stored key per vendor in Secrets Manager</w:t>
            </w:r>
          </w:p>
        </w:tc>
        <w:tc>
          <w:tcPr>
            <w:tcW w:type="dxa" w:w="2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handed to the vendor once; simpler operations</w:t>
            </w:r>
          </w:p>
        </w:tc>
      </w:tr>
      <w:tr>
        <w:trPr>
          <w:cantSplit/>
        </w:trP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Request vs reply keys</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Separate request key and kek_response</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One vendor key for both directions</w:t>
            </w:r>
          </w:p>
        </w:tc>
        <w:tc>
          <w:tcPr>
            <w:tcW w:type="dxa" w:w="2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One secret per vendor; replies still use a DEK per message</w:t>
            </w:r>
          </w:p>
        </w:tc>
      </w:tr>
      <w:tr>
        <w:trPr>
          <w:cantSplit/>
        </w:trP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identity</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From the authorizer context</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From the X-Vendor-Id header, bound to the label</w:t>
            </w:r>
          </w:p>
        </w:tc>
        <w:tc>
          <w:tcPr>
            <w:tcW w:type="dxa" w:w="2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Works across all 50+ APIs with no authorizer change</w:t>
            </w:r>
          </w:p>
        </w:tc>
      </w:tr>
      <w:tr>
        <w:trPr>
          <w:cantSplit/>
        </w:trP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Rotation</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Automatic at the epoch boundary</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Explicit rotate / finish, previous key accepted</w:t>
            </w:r>
          </w:p>
        </w:tc>
        <w:tc>
          <w:tcPr>
            <w:tcW w:type="dxa" w:w="2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Controlled cut-over per vendor</w:t>
            </w:r>
          </w:p>
        </w:tc>
      </w:tr>
    </w:tbl>
    <w:p>
      <w:pPr>
        <w:spacing w:after="200" w:before="60"/>
      </w:pPr>
      <w:r>
        <w:rPr>
          <w:i/>
          <w:iCs/>
          <w:color w:val="808080"/>
          <w:sz w:val="20"/>
          <w:szCs w:val="20"/>
        </w:rPr>
        <w:t xml:space="preserve">Table 9. Deviations to fold into v3.1</w:t>
      </w:r>
    </w:p>
    <w:p>
      <w:pPr>
        <w:pStyle w:val="Heading1"/>
      </w:pPr>
      <w:r>
        <w:t xml:space="preserve">11. Operations, cost and rollout</w:t>
      </w:r>
    </w:p>
    <w:p>
      <w:pPr>
        <w:pStyle w:val="Heading2"/>
      </w:pPr>
      <w:r>
        <w:t xml:space="preserve">Cost (per account and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Item</w:t>
            </w:r>
          </w:p>
        </w:tc>
        <w:tc>
          <w:tcPr>
            <w:tcW w:type="dxa" w:w="42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Basis</w:t>
            </w:r>
          </w:p>
        </w:tc>
        <w:tc>
          <w:tcPr>
            <w:tcW w:type="dxa" w:w="22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Approx. monthly</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secrets</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36 × USD 0.40</w:t>
            </w:r>
          </w:p>
        </w:tc>
        <w:tc>
          <w:tcPr>
            <w:tcW w:type="dxa" w:w="2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USD 14.40</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Secrets Manager API calls</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At most 1 call per vendor per container per 5 minutes</w:t>
            </w:r>
          </w:p>
        </w:tc>
        <w:tc>
          <w:tcPr>
            <w:tcW w:type="dxa" w:w="2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Under USD 1</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DynamoDB nonce table</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One write per request, on demand, 5-minute TTL</w:t>
            </w:r>
          </w:p>
        </w:tc>
        <w:tc>
          <w:tcPr>
            <w:tcW w:type="dxa" w:w="2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USD 1.25 per million requests</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Layer, IAM policy</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 charge</w:t>
            </w:r>
          </w:p>
        </w:tc>
        <w:tc>
          <w:tcPr>
            <w:tcW w:type="dxa" w:w="2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r>
    </w:tbl>
    <w:p>
      <w:pPr>
        <w:spacing w:after="200" w:before="60"/>
      </w:pPr>
      <w:r>
        <w:rPr>
          <w:i/>
          <w:iCs/>
          <w:color w:val="808080"/>
          <w:sz w:val="20"/>
          <w:szCs w:val="20"/>
        </w:rPr>
        <w:t xml:space="preserve">Table 10. Running cost</w:t>
      </w:r>
    </w:p>
    <w:p>
      <w:pPr>
        <w:pStyle w:val="Heading2"/>
      </w:pPr>
      <w:r>
        <w:t xml:space="preserve">Latency</w:t>
      </w:r>
    </w:p>
    <w:p>
      <w:pPr>
        <w:spacing w:after="120"/>
      </w:pPr>
      <w:r>
        <w:t xml:space="preserve">The added time is one DynamoDB conditional write per request (single-digit milliseconds) plus microseconds of AES. The first call per vendor in a cold container adds one Secrets Manager read.</w:t>
      </w:r>
    </w:p>
    <w:p>
      <w:pPr>
        <w:pStyle w:val="Heading2"/>
      </w:pPr>
      <w:r>
        <w:t xml:space="preserve">Rollout and migration</w:t>
      </w:r>
    </w:p>
    <w:p>
      <w:pPr>
        <w:pBdr>
          <w:left w:val="single" w:color="F36B1D" w:sz="18" w:space="8"/>
        </w:pBdr>
        <w:shd w:fill="FEF1E9" w:color="auto" w:val="clear"/>
        <w:spacing w:after="160" w:before="60"/>
        <w:ind w:left="160" w:right="160"/>
      </w:pPr>
      <w:r>
        <w:rPr>
          <w:b/>
          <w:bCs/>
        </w:rPr>
        <w:t xml:space="preserve">Enabling </w:t>
      </w:r>
      <w:r>
        <w:rPr>
          <w:rFonts w:ascii="Consolas" w:cs="Consolas" w:eastAsia="Consolas" w:hAnsi="Consolas"/>
          <w:b/>
          <w:bCs/>
          <w:sz w:val="20"/>
          <w:szCs w:val="20"/>
        </w:rPr>
        <w:t xml:space="preserve">@secure_api()</w:t>
      </w:r>
      <w:r>
        <w:rPr>
          <w:b/>
          <w:bCs/>
        </w:rPr>
        <w:t xml:space="preserve"> on an API immediately refuses plain JSON (CRY426).</w:t>
      </w:r>
      <w:r>
        <w:t xml:space="preserve"> Every vendor calling that API must be ready first. Recommendation: add a time-boxed per-vendor plaintext allow-list (</w:t>
      </w:r>
      <w:r>
        <w:rPr>
          <w:rFonts w:ascii="Consolas" w:cs="Consolas" w:eastAsia="Consolas" w:hAnsi="Consolas"/>
          <w:sz w:val="20"/>
          <w:szCs w:val="20"/>
        </w:rPr>
        <w:t xml:space="preserve">PAYLOAD_PLAINTEXT_VENDORS</w:t>
      </w:r>
      <w:r>
        <w:t xml:space="preserve">) for the migration window, then remove it. This is not built yet.</w:t>
      </w:r>
    </w:p>
    <w:p>
      <w:pPr>
        <w:pStyle w:val="ListParagraph"/>
        <w:numPr>
          <w:ilvl w:val="0"/>
          <w:numId w:val="3"/>
        </w:numPr>
        <w:spacing w:after="60"/>
      </w:pPr>
      <w:r>
        <w:t xml:space="preserve">Pilot: deploy the shared stack, onboard 2 vendors and wrap 1–2 low-risk APIs.</w:t>
      </w:r>
    </w:p>
    <w:p>
      <w:pPr>
        <w:pStyle w:val="ListParagraph"/>
        <w:numPr>
          <w:ilvl w:val="0"/>
          <w:numId w:val="3"/>
        </w:numPr>
        <w:spacing w:after="60"/>
      </w:pPr>
      <w:r>
        <w:t xml:space="preserve">Waves: wrap APIs in groups of 10, onboarding the vendors that use them.</w:t>
      </w:r>
    </w:p>
    <w:p>
      <w:pPr>
        <w:pStyle w:val="ListParagraph"/>
        <w:numPr>
          <w:ilvl w:val="0"/>
          <w:numId w:val="3"/>
        </w:numPr>
        <w:spacing w:after="60"/>
      </w:pPr>
      <w:r>
        <w:t xml:space="preserve">Enforce: remove any plaintext allow-list, and alarm on CRY426 and CRY422 rates.</w:t>
      </w:r>
    </w:p>
    <w:p>
      <w:pPr>
        <w:spacing w:after="60"/>
      </w:pPr>
    </w:p>
    <w:p>
      <w:pPr>
        <w:pStyle w:val="Heading1"/>
      </w:pPr>
      <w:r>
        <w:t xml:space="preserve">12. Test evidence</w:t>
      </w:r>
    </w:p>
    <w:p>
      <w:pPr>
        <w:spacing w:after="120"/>
      </w:pPr>
      <w:r>
        <w:t xml:space="preserve">The module has 36 unit tests (moto for AWS) covering the three event shapes, three vendors with separate keys, caching, rotation, keys staying out of events, replay, tampering, every label check and every failure mode.</w:t>
      </w:r>
    </w:p>
    <w:p>
      <w:pPr>
        <w:keepNext/>
        <w:spacing w:after="40" w:before="120"/>
      </w:pPr>
      <w:r>
        <w:drawing>
          <wp:inline distT="0" distB="0" distL="0" distR="0">
            <wp:extent cx="57340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1914525"/>
                    </a:xfrm>
                    <a:prstGeom prst="rect">
                      <a:avLst/>
                    </a:prstGeom>
                  </pic:spPr>
                </pic:pic>
              </a:graphicData>
            </a:graphic>
          </wp:inline>
        </w:drawing>
      </w:r>
    </w:p>
    <w:p>
      <w:pPr>
        <w:spacing w:after="200"/>
      </w:pPr>
      <w:r>
        <w:rPr>
          <w:i/>
          <w:iCs/>
          <w:color w:val="808080"/>
          <w:sz w:val="20"/>
          <w:szCs w:val="20"/>
        </w:rPr>
        <w:t xml:space="preserve">Figure 7. Unit test run: 36 passed</w:t>
      </w:r>
    </w:p>
    <w:p>
      <w:pPr>
        <w:spacing w:after="120"/>
      </w:pPr>
      <w:r>
        <w:t xml:space="preserve">Live checks against the deployed reference API </w:t>
      </w:r>
      <w:r>
        <w:rPr>
          <w:rFonts w:ascii="Consolas" w:cs="Consolas" w:eastAsia="Consolas" w:hAnsi="Consolas"/>
          <w:sz w:val="20"/>
          <w:szCs w:val="20"/>
        </w:rPr>
        <w:t xml:space="preserve">hello-udit-test</w:t>
      </w:r>
      <w:r>
        <w:t xml:space="preserve"> in ap-south-1:</w:t>
      </w:r>
    </w:p>
    <w:p>
      <w:pPr>
        <w:keepNext/>
        <w:spacing w:after="40" w:before="120"/>
      </w:pPr>
      <w:r>
        <w:drawing>
          <wp:inline distT="0" distB="0" distL="0" distR="0">
            <wp:extent cx="5734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2343150"/>
                    </a:xfrm>
                    <a:prstGeom prst="rect">
                      <a:avLst/>
                    </a:prstGeom>
                  </pic:spPr>
                </pic:pic>
              </a:graphicData>
            </a:graphic>
          </wp:inline>
        </w:drawing>
      </w:r>
    </w:p>
    <w:p>
      <w:pPr>
        <w:spacing w:after="200"/>
      </w:pPr>
      <w:r>
        <w:rPr>
          <w:i/>
          <w:iCs/>
          <w:color w:val="808080"/>
          <w:sz w:val="20"/>
          <w:szCs w:val="20"/>
        </w:rPr>
        <w:t xml:space="preserve">Figure 8. Live: encrypted request in, encrypted reply out, opened by the vendor</w:t>
      </w:r>
    </w:p>
    <w:p>
      <w:pPr>
        <w:keepNext/>
        <w:spacing w:after="40" w:before="120"/>
      </w:pPr>
      <w:r>
        <w:drawing>
          <wp:inline distT="0" distB="0" distL="0" distR="0">
            <wp:extent cx="57340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1400175"/>
                    </a:xfrm>
                    <a:prstGeom prst="rect">
                      <a:avLst/>
                    </a:prstGeom>
                  </pic:spPr>
                </pic:pic>
              </a:graphicData>
            </a:graphic>
          </wp:inline>
        </w:drawing>
      </w:r>
    </w:p>
    <w:p>
      <w:pPr>
        <w:spacing w:after="200"/>
      </w:pPr>
      <w:r>
        <w:rPr>
          <w:i/>
          <w:iCs/>
          <w:color w:val="808080"/>
          <w:sz w:val="20"/>
          <w:szCs w:val="20"/>
        </w:rPr>
        <w:t xml:space="preserve">Figure 9. Live: replay, missing header, unknown vendor and plaintext are refused</w:t>
      </w:r>
    </w:p>
    <w:p>
      <w:r>
        <w:br w:type="page"/>
      </w:r>
    </w:p>
    <w:p>
      <w:pPr>
        <w:pStyle w:val="Heading1"/>
      </w:pPr>
      <w:r>
        <w:t xml:space="preserve">Appendix A.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Variable</w:t>
            </w:r>
          </w:p>
        </w:tc>
        <w:tc>
          <w:tcPr>
            <w:tcW w:type="dxa" w:w="2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Default</w:t>
            </w:r>
          </w:p>
        </w:tc>
        <w:tc>
          <w:tcPr>
            <w:tcW w:type="dxa" w:w="32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Meaning</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PAYLOAD_KEY_SECRET_TEMPLATE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payload-keys/{vendor}</w:t>
            </w:r>
          </w:p>
        </w:tc>
        <w:tc>
          <w:tcPr>
            <w:tcW w:type="dxa" w:w="3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Secret name per vendor</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PAYLOAD_NONCE_TABLE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(required)</w:t>
            </w:r>
          </w:p>
        </w:tc>
        <w:tc>
          <w:tcPr>
            <w:tcW w:type="dxa" w:w="3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Replay table name</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PAYLOAD_VENDOR_HEADER</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X-Vendor-Id</w:t>
            </w:r>
          </w:p>
        </w:tc>
        <w:tc>
          <w:tcPr>
            <w:tcW w:type="dxa" w:w="3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Header naming the vendor</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PAYLOAD_ALLOWED_VENDORS</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(none)</w:t>
            </w:r>
          </w:p>
        </w:tc>
        <w:tc>
          <w:tcPr>
            <w:tcW w:type="dxa" w:w="3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Optional comma-separated allow-list</w:t>
            </w:r>
          </w:p>
        </w:tc>
      </w:tr>
      <w:tr>
        <w:trPr>
          <w:cantSplit/>
        </w:trPr>
        <w:tc>
          <w:tcPr>
            <w:tcW w:type="dxa" w:w="3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PAYLOAD_KEY_CACHE_SECONDS</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300</w:t>
            </w:r>
          </w:p>
        </w:tc>
        <w:tc>
          <w:tcPr>
            <w:tcW w:type="dxa" w:w="3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Key cache lifetime per container</w:t>
            </w:r>
          </w:p>
        </w:tc>
      </w:tr>
    </w:tbl>
    <w:p>
      <w:pPr>
        <w:spacing w:after="200" w:before="60"/>
      </w:pPr>
      <w:r>
        <w:rPr>
          <w:i/>
          <w:iCs/>
          <w:color w:val="808080"/>
          <w:sz w:val="20"/>
          <w:szCs w:val="20"/>
        </w:rPr>
        <w:t xml:space="preserve">Table 11. Environment variables</w:t>
      </w:r>
    </w:p>
    <w:p>
      <w:pPr>
        <w:pStyle w:val="Heading2"/>
      </w:pPr>
      <w:r>
        <w:t xml:space="preserve">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Path</w:t>
            </w:r>
          </w:p>
        </w:tc>
        <w:tc>
          <w:tcPr>
            <w:tcW w:type="dxa" w:w="44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Contents</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payload-crypto/layer/python/payload_crypto.py</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The decorators</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payload-crypto/infra/shared.yaml</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Shared stack: layer, nonce table, IAM policy</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payload-crypto/scripts/vendor_key.py</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Create / rotate / finish-rotation vendor keys</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payload-crypto/vendor/</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client, example, test vectors</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payload-crypto/GUIDE.md</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Engineer checklist per API</w:t>
            </w:r>
          </w:p>
        </w:tc>
      </w:tr>
      <w:tr>
        <w:trPr>
          <w:cantSplit/>
        </w:trPr>
        <w:tc>
          <w:tcPr>
            <w:tcW w:type="dxa" w:w="4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hello/</w:t>
            </w:r>
          </w:p>
        </w:tc>
        <w:tc>
          <w:tcPr>
            <w:tcW w:type="dxa" w:w="4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Reference API on the layer</w:t>
            </w:r>
          </w:p>
        </w:tc>
      </w:tr>
    </w:tbl>
    <w:p>
      <w:pPr>
        <w:spacing w:after="200" w:before="60"/>
      </w:pPr>
      <w:r>
        <w:rPr>
          <w:i/>
          <w:iCs/>
          <w:color w:val="808080"/>
          <w:sz w:val="20"/>
          <w:szCs w:val="20"/>
        </w:rPr>
        <w:t xml:space="preserve">Table 12. Code</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color w:val="808080"/>
        <w:sz w:val="18"/>
        <w:szCs w:val="18"/>
      </w:rPr>
      <w:t xml:space="preserve">Confidential</w:t>
    </w:r>
    <w:r>
      <w:rPr>
        <w:color w:val="808080"/>
        <w:sz w:val="18"/>
        <w:szCs w:val="18"/>
      </w:rPr>
      <w:t xml:space="preserve">	LUMIQ (www.lumiq.ai)	</w:t>
    </w: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080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color w:val="000000"/>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808080"/>
      <w:sz w:val="28"/>
      <w:szCs w:val="28"/>
    </w:rPr>
  </w:style>
  <w:style w:type="paragraph" w:styleId="Heading3">
    <w:name w:val="Heading 3"/>
    <w:basedOn w:val="Normal"/>
    <w:next w:val="Normal"/>
    <w:qFormat/>
    <w:pPr>
      <w:keepNext/>
      <w:spacing w:after="80" w:before="200"/>
      <w:outlineLvl w:val="2"/>
    </w:pPr>
    <w:rPr>
      <w:rFonts w:ascii="Aptos" w:cs="Aptos" w:eastAsia="Aptos" w:hAnsi="Apto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5da72f9ea844c790e79d57e6c307e611177fde6.png"/><Relationship Id="rId10" Type="http://schemas.openxmlformats.org/officeDocument/2006/relationships/image" Target="media/f0aeac297578745534933fe55b3b5c7624d845a0.png"/><Relationship Id="rId11" Type="http://schemas.openxmlformats.org/officeDocument/2006/relationships/image" Target="media/0b1c2cf7f43d8758f3a01c9249757e2007dbb94a.png"/><Relationship Id="rId12" Type="http://schemas.openxmlformats.org/officeDocument/2006/relationships/image" Target="media/81ec48d60d5f90547bfd275f337e205d5f41cc3a.png"/><Relationship Id="rId13" Type="http://schemas.openxmlformats.org/officeDocument/2006/relationships/image" Target="media/6ccf126be82703ca39ec0459bed55e92bb7a6a15.png"/><Relationship Id="rId14" Type="http://schemas.openxmlformats.org/officeDocument/2006/relationships/image" Target="media/563c7bb77d066c707468471e65844eaded492109.png"/><Relationship Id="rId15" Type="http://schemas.openxmlformats.org/officeDocument/2006/relationships/image" Target="media/3e9432c88a345a0fa2bbc1e0b46a2596f713b295.png"/><Relationship Id="rId16" Type="http://schemas.openxmlformats.org/officeDocument/2006/relationships/image" Target="media/e420a6913a91a6f31131ed953b80f6721e710d2c.png"/><Relationship Id="rId17" Type="http://schemas.openxmlformats.org/officeDocument/2006/relationships/image" Target="media/bcb79af88b42acd33e668ea5db534efc3ada58a8.png"/><Relationship Id="rId18" Type="http://schemas.openxmlformats.org/officeDocument/2006/relationships/image" Target="media/e9877610bb875e2cd2190387fa92749283560ca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/Users/uditmittal/Documents/lambda/payload-crypto/docs/EmpowerCare_PayloadEncryption_DesignDocument.docx</dc:title>
  <dc:creator>LUMIQ</dc:creator>
  <cp:lastModifiedBy>Un-named</cp:lastModifiedBy>
  <cp:revision>1</cp:revision>
  <dcterms:created xsi:type="dcterms:W3CDTF">2026-09-26T13:00:08.373Z</dcterms:created>
  <dcterms:modified xsi:type="dcterms:W3CDTF">2026-09-26T13:00:08.374Z</dcterms:modified>
</cp:coreProperties>
</file>

<file path=docProps/custom.xml><?xml version="1.0" encoding="utf-8"?>
<Properties xmlns="http://schemas.openxmlformats.org/officeDocument/2006/custom-properties" xmlns:vt="http://schemas.openxmlformats.org/officeDocument/2006/docPropsVTypes"/>
</file>