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D5249" w14:textId="77777777" w:rsidR="004919D2" w:rsidRPr="004919D2" w:rsidRDefault="004919D2" w:rsidP="004919D2">
      <w:pPr>
        <w:rPr>
          <w:b/>
          <w:bCs/>
        </w:rPr>
      </w:pPr>
      <w:r w:rsidRPr="004919D2">
        <w:rPr>
          <w:b/>
          <w:bCs/>
        </w:rPr>
        <w:t>Executive Summary: Machine Learning Scorecard Optimization for Retail Credit Risk Management</w:t>
      </w:r>
    </w:p>
    <w:p w14:paraId="344AB3C1" w14:textId="77777777" w:rsidR="004919D2" w:rsidRPr="004919D2" w:rsidRDefault="004919D2" w:rsidP="004919D2">
      <w:r w:rsidRPr="004919D2">
        <w:rPr>
          <w:b/>
          <w:bCs/>
        </w:rPr>
        <w:t>Author:</w:t>
      </w:r>
      <w:r w:rsidRPr="004919D2">
        <w:t xml:space="preserve"> Ritika Kumari </w:t>
      </w:r>
      <w:proofErr w:type="spellStart"/>
      <w:r w:rsidRPr="004919D2">
        <w:t>Tulsyan</w:t>
      </w:r>
      <w:proofErr w:type="spellEnd"/>
      <w:r w:rsidRPr="004919D2">
        <w:br/>
      </w:r>
      <w:r w:rsidRPr="004919D2">
        <w:rPr>
          <w:b/>
          <w:bCs/>
        </w:rPr>
        <w:t>Date:</w:t>
      </w:r>
      <w:r w:rsidRPr="004919D2">
        <w:t xml:space="preserve"> October 2026</w:t>
      </w:r>
    </w:p>
    <w:p w14:paraId="30DEC90F" w14:textId="77777777" w:rsidR="004919D2" w:rsidRPr="004919D2" w:rsidRDefault="004919D2" w:rsidP="004919D2">
      <w:pPr>
        <w:rPr>
          <w:b/>
          <w:bCs/>
        </w:rPr>
      </w:pPr>
      <w:r w:rsidRPr="004919D2">
        <w:rPr>
          <w:b/>
          <w:bCs/>
        </w:rPr>
        <w:t>1. Business Problem &amp; Objective</w:t>
      </w:r>
    </w:p>
    <w:p w14:paraId="6DD40509" w14:textId="77777777" w:rsidR="004919D2" w:rsidRPr="004919D2" w:rsidRDefault="004919D2" w:rsidP="004919D2">
      <w:r w:rsidRPr="004919D2">
        <w:t>In retail banking, credit risk assessment is a critical operational lever where asymmetric error costs dictate profitability. Approving a high-risk applicant who subsequently defaults (a False Negative) is substantially more expensive than rejecting a creditworthy applicant (a False Positive).</w:t>
      </w:r>
    </w:p>
    <w:p w14:paraId="79D21A22" w14:textId="77777777" w:rsidR="004919D2" w:rsidRPr="004919D2" w:rsidRDefault="004919D2" w:rsidP="004919D2">
      <w:r w:rsidRPr="004919D2">
        <w:t xml:space="preserve">The primary objective of this project was to develop an end-to-end data science pipeline utilizing the </w:t>
      </w:r>
      <w:r w:rsidRPr="004919D2">
        <w:rPr>
          <w:b/>
          <w:bCs/>
        </w:rPr>
        <w:t xml:space="preserve">UCI </w:t>
      </w:r>
      <w:proofErr w:type="spellStart"/>
      <w:r w:rsidRPr="004919D2">
        <w:rPr>
          <w:b/>
          <w:bCs/>
        </w:rPr>
        <w:t>Statlog</w:t>
      </w:r>
      <w:proofErr w:type="spellEnd"/>
      <w:r w:rsidRPr="004919D2">
        <w:rPr>
          <w:b/>
          <w:bCs/>
        </w:rPr>
        <w:t xml:space="preserve"> German Credit dataset</w:t>
      </w:r>
      <w:r w:rsidRPr="004919D2">
        <w:t xml:space="preserve"> (1,000 observations, 20 features) to construct an optimal risk classification model. The study evaluates the predictive capabilities of </w:t>
      </w:r>
      <w:r w:rsidRPr="004919D2">
        <w:rPr>
          <w:b/>
          <w:bCs/>
        </w:rPr>
        <w:t>Logistic Regression</w:t>
      </w:r>
      <w:r w:rsidRPr="004919D2">
        <w:t xml:space="preserve"> versus </w:t>
      </w:r>
      <w:r w:rsidRPr="004919D2">
        <w:rPr>
          <w:b/>
          <w:bCs/>
        </w:rPr>
        <w:t>Linear Discriminant Analysis (LDA)</w:t>
      </w:r>
      <w:r w:rsidRPr="004919D2">
        <w:t>, with a strategic emphasis on optimizing the decision threshold to minimize total economic loss.</w:t>
      </w:r>
    </w:p>
    <w:p w14:paraId="0C4191E6" w14:textId="77777777" w:rsidR="004919D2" w:rsidRPr="004919D2" w:rsidRDefault="004919D2" w:rsidP="004919D2">
      <w:pPr>
        <w:rPr>
          <w:b/>
          <w:bCs/>
        </w:rPr>
      </w:pPr>
      <w:r w:rsidRPr="004919D2">
        <w:rPr>
          <w:b/>
          <w:bCs/>
        </w:rPr>
        <w:t>2. Methodology &amp; Experimental Design</w:t>
      </w:r>
    </w:p>
    <w:p w14:paraId="4A86EEA9" w14:textId="77777777" w:rsidR="004919D2" w:rsidRPr="004919D2" w:rsidRDefault="004919D2" w:rsidP="004919D2">
      <w:r w:rsidRPr="004919D2">
        <w:t xml:space="preserve">To replicate real-world deployment conditions and avoid data leakage, a strict </w:t>
      </w:r>
      <w:r w:rsidRPr="004919D2">
        <w:rPr>
          <w:b/>
          <w:bCs/>
        </w:rPr>
        <w:t>80:20 train-test split</w:t>
      </w:r>
      <w:r w:rsidRPr="004919D2">
        <w:t xml:space="preserve"> was enforced, with the test set held out entirely until the final evaluation.</w:t>
      </w:r>
    </w:p>
    <w:p w14:paraId="357E9586" w14:textId="77777777" w:rsidR="004919D2" w:rsidRPr="004919D2" w:rsidRDefault="004919D2" w:rsidP="004919D2">
      <w:pPr>
        <w:numPr>
          <w:ilvl w:val="0"/>
          <w:numId w:val="1"/>
        </w:numPr>
      </w:pPr>
      <w:r w:rsidRPr="004919D2">
        <w:rPr>
          <w:b/>
          <w:bCs/>
        </w:rPr>
        <w:t>Exploratory Data Analysis &amp; Feature Engineering:</w:t>
      </w:r>
      <w:r w:rsidRPr="004919D2">
        <w:t xml:space="preserve"> Extreme skewness in the loan size distribution was corrected using a log transformation (</w:t>
      </w:r>
      <w:proofErr w:type="spellStart"/>
      <w:r w:rsidRPr="004919D2">
        <w:t>log_credit_amount</w:t>
      </w:r>
      <w:proofErr w:type="spellEnd"/>
      <w:r w:rsidRPr="004919D2">
        <w:t xml:space="preserve">). Continuous age and duration variables were binned into risk-reflective </w:t>
      </w:r>
      <w:proofErr w:type="spellStart"/>
      <w:r w:rsidRPr="004919D2">
        <w:t>behavioral</w:t>
      </w:r>
      <w:proofErr w:type="spellEnd"/>
      <w:r w:rsidRPr="004919D2">
        <w:t xml:space="preserve"> categories.</w:t>
      </w:r>
    </w:p>
    <w:p w14:paraId="543AFE22" w14:textId="77777777" w:rsidR="004919D2" w:rsidRPr="004919D2" w:rsidRDefault="004919D2" w:rsidP="004919D2">
      <w:pPr>
        <w:numPr>
          <w:ilvl w:val="0"/>
          <w:numId w:val="1"/>
        </w:numPr>
      </w:pPr>
      <w:r w:rsidRPr="004919D2">
        <w:rPr>
          <w:b/>
          <w:bCs/>
        </w:rPr>
        <w:t>Pipeline Preprocessing:</w:t>
      </w:r>
      <w:r w:rsidRPr="004919D2">
        <w:t xml:space="preserve"> Categorical variables were one-hot encoded (dropping the first category to avoid the dummy variable trap), and continuous predictors were standardized (z-score scaling).</w:t>
      </w:r>
    </w:p>
    <w:p w14:paraId="763450FD" w14:textId="77777777" w:rsidR="004919D2" w:rsidRPr="004919D2" w:rsidRDefault="004919D2" w:rsidP="004919D2">
      <w:pPr>
        <w:numPr>
          <w:ilvl w:val="0"/>
          <w:numId w:val="1"/>
        </w:numPr>
      </w:pPr>
      <w:r w:rsidRPr="004919D2">
        <w:rPr>
          <w:b/>
          <w:bCs/>
        </w:rPr>
        <w:t>Imbalance Remediation:</w:t>
      </w:r>
      <w:r w:rsidRPr="004919D2">
        <w:t xml:space="preserve"> The standard 70:30 class imbalance was addressed by applying </w:t>
      </w:r>
      <w:r w:rsidRPr="004919D2">
        <w:rPr>
          <w:b/>
          <w:bCs/>
        </w:rPr>
        <w:t>Synthetic Minority Over-sampling Technique (SMOTE)</w:t>
      </w:r>
      <w:r w:rsidRPr="004919D2">
        <w:t xml:space="preserve"> strictly to the training partition, ensuring no synthetic data tainted the test environment.</w:t>
      </w:r>
    </w:p>
    <w:p w14:paraId="5013F6AA" w14:textId="77777777" w:rsidR="004919D2" w:rsidRPr="004919D2" w:rsidRDefault="004919D2" w:rsidP="004919D2">
      <w:pPr>
        <w:rPr>
          <w:b/>
          <w:bCs/>
        </w:rPr>
      </w:pPr>
      <w:r w:rsidRPr="004919D2">
        <w:rPr>
          <w:b/>
          <w:bCs/>
        </w:rPr>
        <w:t>3. Empirical Results</w:t>
      </w:r>
    </w:p>
    <w:p w14:paraId="28EAC23C" w14:textId="77777777" w:rsidR="004919D2" w:rsidRPr="004919D2" w:rsidRDefault="004919D2" w:rsidP="004919D2">
      <w:r w:rsidRPr="004919D2">
        <w:t>The models were benchmarked across multiple dimensions on the untouched test partition. Logistic Regression demonstrated significant superiority over the LDA model across all performance constraints:</w:t>
      </w:r>
    </w:p>
    <w:p w14:paraId="512A2F8B" w14:textId="77777777" w:rsidR="004919D2" w:rsidRPr="004919D2" w:rsidRDefault="004919D2" w:rsidP="004919D2">
      <w:pPr>
        <w:numPr>
          <w:ilvl w:val="0"/>
          <w:numId w:val="2"/>
        </w:numPr>
      </w:pPr>
      <w:r w:rsidRPr="004919D2">
        <w:rPr>
          <w:b/>
          <w:bCs/>
        </w:rPr>
        <w:t>Logistic Regression baseline (0.50 Threshold):</w:t>
      </w:r>
      <w:r w:rsidRPr="004919D2">
        <w:t xml:space="preserve"> Achieved an </w:t>
      </w:r>
      <w:r w:rsidRPr="004919D2">
        <w:rPr>
          <w:b/>
          <w:bCs/>
        </w:rPr>
        <w:t>Accuracy of 75.00%</w:t>
      </w:r>
      <w:r w:rsidRPr="004919D2">
        <w:t xml:space="preserve">, a </w:t>
      </w:r>
      <w:r w:rsidRPr="004919D2">
        <w:rPr>
          <w:b/>
          <w:bCs/>
        </w:rPr>
        <w:t>Precision of 56.94%</w:t>
      </w:r>
      <w:r w:rsidRPr="004919D2">
        <w:t xml:space="preserve">, and a </w:t>
      </w:r>
      <w:r w:rsidRPr="004919D2">
        <w:rPr>
          <w:b/>
          <w:bCs/>
        </w:rPr>
        <w:t xml:space="preserve">Recall (Sensitivity) for Bad Credit of </w:t>
      </w:r>
      <w:r w:rsidRPr="004919D2">
        <w:rPr>
          <w:b/>
          <w:bCs/>
        </w:rPr>
        <w:lastRenderedPageBreak/>
        <w:t>68.33%</w:t>
      </w:r>
      <w:r w:rsidRPr="004919D2">
        <w:t xml:space="preserve">. The model achieved a robust </w:t>
      </w:r>
      <w:r w:rsidRPr="004919D2">
        <w:rPr>
          <w:b/>
          <w:bCs/>
        </w:rPr>
        <w:t>ROC-AUC of 77.89%</w:t>
      </w:r>
      <w:r w:rsidRPr="004919D2">
        <w:t>, demonstrating strong discriminative power.</w:t>
      </w:r>
    </w:p>
    <w:p w14:paraId="5A6EC6BB" w14:textId="77777777" w:rsidR="004919D2" w:rsidRPr="004919D2" w:rsidRDefault="004919D2" w:rsidP="004919D2">
      <w:pPr>
        <w:numPr>
          <w:ilvl w:val="0"/>
          <w:numId w:val="2"/>
        </w:numPr>
      </w:pPr>
      <w:r w:rsidRPr="004919D2">
        <w:rPr>
          <w:b/>
          <w:bCs/>
        </w:rPr>
        <w:t>Linear Discriminant Analysis (LDA):</w:t>
      </w:r>
      <w:r w:rsidRPr="004919D2">
        <w:t xml:space="preserve"> Underperformed significantly, yielding an </w:t>
      </w:r>
      <w:r w:rsidRPr="004919D2">
        <w:rPr>
          <w:b/>
          <w:bCs/>
        </w:rPr>
        <w:t>Accuracy of 60.50%</w:t>
      </w:r>
      <w:r w:rsidRPr="004919D2">
        <w:t xml:space="preserve"> and a </w:t>
      </w:r>
      <w:r w:rsidRPr="004919D2">
        <w:rPr>
          <w:b/>
          <w:bCs/>
        </w:rPr>
        <w:t>ROC-AUC of 59.05%</w:t>
      </w:r>
      <w:r w:rsidRPr="004919D2">
        <w:t>, indicating that the linear boundaries of classical LDA were poorly suited for the high-dimensional encoded categorical space of this portfolio.</w:t>
      </w:r>
    </w:p>
    <w:p w14:paraId="66CAC89A" w14:textId="77777777" w:rsidR="004919D2" w:rsidRPr="004919D2" w:rsidRDefault="004919D2" w:rsidP="004919D2">
      <w:pPr>
        <w:rPr>
          <w:b/>
          <w:bCs/>
        </w:rPr>
      </w:pPr>
      <w:r w:rsidRPr="004919D2">
        <w:rPr>
          <w:b/>
          <w:bCs/>
        </w:rPr>
        <w:t>4. Economic Optimization &amp; Threshold Sensitivity Analysis</w:t>
      </w:r>
    </w:p>
    <w:p w14:paraId="0C7E9F87" w14:textId="77777777" w:rsidR="004919D2" w:rsidRPr="004919D2" w:rsidRDefault="004919D2" w:rsidP="004919D2">
      <w:r w:rsidRPr="004919D2">
        <w:t xml:space="preserve">Applying standard default thresholds (0.50) frequently undermines commercial objectives. Incorporating the official UCI cost structure—where a missed default (False Negative) carries a penalty weight of </w:t>
      </w:r>
      <w:r w:rsidRPr="004919D2">
        <w:rPr>
          <w:b/>
          <w:bCs/>
        </w:rPr>
        <w:t>5</w:t>
      </w:r>
      <w:r w:rsidRPr="004919D2">
        <w:t xml:space="preserve">, and an incorrect rejection (False Positive) carries a weight of </w:t>
      </w:r>
      <w:r w:rsidRPr="004919D2">
        <w:rPr>
          <w:b/>
          <w:bCs/>
        </w:rPr>
        <w:t>1</w:t>
      </w:r>
      <w:r w:rsidRPr="004919D2">
        <w:t>—a threshold sensitivity sweep was conducted on the Logistic Regression model.</w:t>
      </w:r>
    </w:p>
    <w:p w14:paraId="70BAC0E0" w14:textId="77777777" w:rsidR="004919D2" w:rsidRPr="004919D2" w:rsidRDefault="004919D2" w:rsidP="004919D2">
      <w:pPr>
        <w:numPr>
          <w:ilvl w:val="0"/>
          <w:numId w:val="3"/>
        </w:numPr>
      </w:pPr>
      <w:r w:rsidRPr="004919D2">
        <w:t xml:space="preserve">At the default </w:t>
      </w:r>
      <w:r w:rsidRPr="004919D2">
        <w:rPr>
          <w:b/>
          <w:bCs/>
        </w:rPr>
        <w:t>0.50 threshold</w:t>
      </w:r>
      <w:r w:rsidRPr="004919D2">
        <w:t xml:space="preserve">, the model missed 19 defaults, generating a total business cost of </w:t>
      </w:r>
      <w:r w:rsidRPr="004919D2">
        <w:rPr>
          <w:b/>
          <w:bCs/>
        </w:rPr>
        <w:t>126</w:t>
      </w:r>
      <w:r w:rsidRPr="004919D2">
        <w:t>.</w:t>
      </w:r>
    </w:p>
    <w:p w14:paraId="4786527A" w14:textId="77777777" w:rsidR="004919D2" w:rsidRPr="004919D2" w:rsidRDefault="004919D2" w:rsidP="004919D2">
      <w:pPr>
        <w:numPr>
          <w:ilvl w:val="0"/>
          <w:numId w:val="3"/>
        </w:numPr>
      </w:pPr>
      <w:r w:rsidRPr="004919D2">
        <w:t xml:space="preserve">By shifting the decision rule to a more conservative risk threshold of </w:t>
      </w:r>
      <w:r w:rsidRPr="004919D2">
        <w:rPr>
          <w:b/>
          <w:bCs/>
        </w:rPr>
        <w:t>0.40</w:t>
      </w:r>
      <w:r w:rsidRPr="004919D2">
        <w:t xml:space="preserve">, the model caught more defaults, dropping total costs to </w:t>
      </w:r>
      <w:r w:rsidRPr="004919D2">
        <w:rPr>
          <w:b/>
          <w:bCs/>
        </w:rPr>
        <w:t>118</w:t>
      </w:r>
      <w:r w:rsidRPr="004919D2">
        <w:t>.</w:t>
      </w:r>
    </w:p>
    <w:p w14:paraId="0716EAF7" w14:textId="77777777" w:rsidR="004919D2" w:rsidRPr="004919D2" w:rsidRDefault="004919D2" w:rsidP="004919D2">
      <w:pPr>
        <w:numPr>
          <w:ilvl w:val="0"/>
          <w:numId w:val="3"/>
        </w:numPr>
      </w:pPr>
      <w:r w:rsidRPr="004919D2">
        <w:rPr>
          <w:b/>
          <w:bCs/>
        </w:rPr>
        <w:t>Optimal Business Decision Vector:</w:t>
      </w:r>
      <w:r w:rsidRPr="004919D2">
        <w:t xml:space="preserve"> The absolute minimum financial risk profile was achieved at a </w:t>
      </w:r>
      <w:r w:rsidRPr="004919D2">
        <w:rPr>
          <w:b/>
          <w:bCs/>
        </w:rPr>
        <w:t>threshold of 0.35</w:t>
      </w:r>
      <w:r w:rsidRPr="004919D2">
        <w:t xml:space="preserve">, where the approval rate adjusted to 52%, and the model successfully identified </w:t>
      </w:r>
      <w:r w:rsidRPr="004919D2">
        <w:rPr>
          <w:b/>
          <w:bCs/>
        </w:rPr>
        <w:t>80.00% of all defaults</w:t>
      </w:r>
      <w:r w:rsidRPr="004919D2">
        <w:t xml:space="preserve">. This optimization configuration reduced missed defaults to 12, yielding a </w:t>
      </w:r>
      <w:r w:rsidRPr="004919D2">
        <w:rPr>
          <w:b/>
          <w:bCs/>
        </w:rPr>
        <w:t>minimum economic cost of 108</w:t>
      </w:r>
      <w:r w:rsidRPr="004919D2">
        <w:t xml:space="preserve">—a </w:t>
      </w:r>
      <w:r w:rsidRPr="004919D2">
        <w:rPr>
          <w:b/>
          <w:bCs/>
        </w:rPr>
        <w:t>14.3% financial risk reduction</w:t>
      </w:r>
      <w:r w:rsidRPr="004919D2">
        <w:t xml:space="preserve"> over standard out-of-the-box model configurations.</w:t>
      </w:r>
    </w:p>
    <w:p w14:paraId="1540B4A3" w14:textId="77777777" w:rsidR="004919D2" w:rsidRPr="004919D2" w:rsidRDefault="004919D2" w:rsidP="004919D2">
      <w:pPr>
        <w:rPr>
          <w:b/>
          <w:bCs/>
        </w:rPr>
      </w:pPr>
      <w:r w:rsidRPr="004919D2">
        <w:rPr>
          <w:b/>
          <w:bCs/>
        </w:rPr>
        <w:t>5. Strategic Recommendations</w:t>
      </w:r>
    </w:p>
    <w:p w14:paraId="6E5E9FD0" w14:textId="77777777" w:rsidR="004919D2" w:rsidRPr="004919D2" w:rsidRDefault="004919D2" w:rsidP="004919D2">
      <w:pPr>
        <w:numPr>
          <w:ilvl w:val="0"/>
          <w:numId w:val="4"/>
        </w:numPr>
      </w:pPr>
      <w:r w:rsidRPr="004919D2">
        <w:rPr>
          <w:b/>
          <w:bCs/>
        </w:rPr>
        <w:t>Deploy Logistic Regression over LDA:</w:t>
      </w:r>
      <w:r w:rsidRPr="004919D2">
        <w:t xml:space="preserve"> Retain Logistic Regression as the baseline architecture due to its superior non-linear boundaries following encoding and its robust probabilistic calibration (77.89% AUC).</w:t>
      </w:r>
    </w:p>
    <w:p w14:paraId="3F25DD28" w14:textId="77777777" w:rsidR="004919D2" w:rsidRPr="004919D2" w:rsidRDefault="004919D2" w:rsidP="004919D2">
      <w:pPr>
        <w:numPr>
          <w:ilvl w:val="0"/>
          <w:numId w:val="4"/>
        </w:numPr>
      </w:pPr>
      <w:r w:rsidRPr="004919D2">
        <w:rPr>
          <w:b/>
          <w:bCs/>
        </w:rPr>
        <w:t>Implement Asymmetric Thresholding (0.35):</w:t>
      </w:r>
      <w:r w:rsidRPr="004919D2">
        <w:t xml:space="preserve"> Shift corporate credit policy away from the balanced 0.50 threshold. Transitioning to a 0.35 cut-off threshold minimizes the bank's net exposure by aggressively filtering defaults, matching the asymmetric cost configuration of the modern macroeconomic credit environment.</w:t>
      </w:r>
    </w:p>
    <w:p w14:paraId="2AA22545" w14:textId="77777777" w:rsidR="004919D2" w:rsidRPr="004919D2" w:rsidRDefault="004919D2" w:rsidP="004919D2">
      <w:r w:rsidRPr="004919D2">
        <w:pict w14:anchorId="0AD09C00">
          <v:rect id="_x0000_i1031" style="width:0;height:1.5pt" o:hralign="center" o:hrstd="t" o:hr="t" fillcolor="#a0a0a0" stroked="f"/>
        </w:pict>
      </w:r>
    </w:p>
    <w:p w14:paraId="55EF4FBB" w14:textId="77777777" w:rsidR="00ED6276" w:rsidRDefault="00ED6276"/>
    <w:sectPr w:rsidR="00ED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C0045"/>
    <w:multiLevelType w:val="multilevel"/>
    <w:tmpl w:val="0BE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D01C2"/>
    <w:multiLevelType w:val="multilevel"/>
    <w:tmpl w:val="563C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14707D"/>
    <w:multiLevelType w:val="multilevel"/>
    <w:tmpl w:val="92B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B499B"/>
    <w:multiLevelType w:val="multilevel"/>
    <w:tmpl w:val="029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45407">
    <w:abstractNumId w:val="0"/>
  </w:num>
  <w:num w:numId="2" w16cid:durableId="455948850">
    <w:abstractNumId w:val="2"/>
  </w:num>
  <w:num w:numId="3" w16cid:durableId="1312562932">
    <w:abstractNumId w:val="3"/>
  </w:num>
  <w:num w:numId="4" w16cid:durableId="1594821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0C"/>
    <w:rsid w:val="004919D2"/>
    <w:rsid w:val="00D1250C"/>
    <w:rsid w:val="00D132B8"/>
    <w:rsid w:val="00ED6276"/>
    <w:rsid w:val="00FB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2438F"/>
  <w15:chartTrackingRefBased/>
  <w15:docId w15:val="{3467604A-5999-4CC2-83A6-B938EDD4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72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70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289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51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700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27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84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2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20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62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6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79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3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1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31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66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69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27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207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27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GIM-Lab1</dc:creator>
  <cp:keywords/>
  <dc:description/>
  <cp:lastModifiedBy>GIM-Lab1</cp:lastModifiedBy>
  <cp:revision>2</cp:revision>
  <dcterms:created xsi:type="dcterms:W3CDTF">2026-10-01T09:30:00Z</dcterms:created>
  <dcterms:modified xsi:type="dcterms:W3CDTF">2026-10-01T09:30:00Z</dcterms:modified>
</cp:coreProperties>
</file>