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6263B"/>
          <w:sz w:val="40"/>
          <w:szCs w:val="40"/>
        </w:rPr>
        <w:t xml:space="preserve">Executive Summary</w:t>
      </w:r>
    </w:p>
    <w:p>
      <w:pPr>
        <w:spacing w:after="40"/>
        <w:jc w:val="center"/>
      </w:pPr>
      <w:r>
        <w:rPr>
          <w:i/>
          <w:iCs/>
          <w:color w:val="6B7280"/>
          <w:sz w:val="24"/>
          <w:szCs w:val="24"/>
        </w:rPr>
        <w:t xml:space="preserve">Predictive Modeling and Risk Scoring for Bank Customer Churn</w:t>
      </w:r>
    </w:p>
    <w:p>
      <w:pPr>
        <w:spacing w:after="300"/>
        <w:jc w:val="center"/>
      </w:pPr>
      <w:r>
        <w:rPr>
          <w:color w:val="6B7280"/>
          <w:sz w:val="20"/>
          <w:szCs w:val="20"/>
        </w:rPr>
        <w:t xml:space="preserve">The European Central Bank  |  Prepared for Government Stakeholders  |  September 2026</w:t>
      </w:r>
    </w:p>
    <w:p>
      <w:pPr>
        <w:pStyle w:val="Heading1"/>
        <w:spacing w:after="160" w:before="300"/>
      </w:pPr>
      <w:r>
        <w:t xml:space="preserve">Purpose</w:t>
      </w:r>
    </w:p>
    <w:p>
      <w:pPr>
        <w:spacing w:after="140"/>
        <w:jc w:val="both"/>
      </w:pPr>
      <w:r>
        <w:t xml:space="preserve">This summary presents the headline results of a machine learning system built to predict, ahead of time, which retail banking customers are likely to churn — replacing after-the-fact churn analysis with a proactive, quantitative risk score for every customer.</w:t>
      </w:r>
    </w:p>
    <w:p>
      <w:pPr>
        <w:pStyle w:val="Heading1"/>
        <w:spacing w:after="160" w:before="300"/>
      </w:pPr>
      <w:r>
        <w:t xml:space="preserve">Headline Finding</w:t>
      </w:r>
    </w:p>
    <w:p>
      <w:pPr>
        <w:spacing w:after="140"/>
        <w:jc w:val="both"/>
      </w:pPr>
      <w:r>
        <w:t xml:space="preserve">A Gradient Boosting model correctly identifies roughly half of all customers who actually churn (49.6%), while producing false alarms for only 3.8% of customers who stay — a workable precision-recall balance for a retention team with limited outreach capacity. The two strongest predictors of churn, confirmed by two independent explainability methods, are the number of products a customer holds and their age.</w:t>
      </w:r>
    </w:p>
    <w:p>
      <w:pPr>
        <w:spacing w:after="60" w:before="160"/>
        <w:jc w:val="center"/>
      </w:pPr>
      <w:r>
        <w:drawing>
          <wp:inline distT="0" distB="0" distL="0" distR="0">
            <wp:extent cx="36195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Model discrimination (ROC-AUC) across all five models tested.</w:t>
      </w:r>
    </w:p>
    <w:p>
      <w:pPr>
        <w:pStyle w:val="Heading1"/>
        <w:spacing w:after="160" w:before="300"/>
      </w:pPr>
      <w:r>
        <w:t xml:space="preserve">Key Metrics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shd w:fill="16263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600"/>
            <w:shd w:fill="16263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4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Champion model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Gradient Boosting</w:t>
            </w:r>
          </w:p>
        </w:tc>
      </w:tr>
      <w:tr>
        <w:tc>
          <w:tcPr>
            <w:tcW w:type="dxa" w:w="4600"/>
            <w:shd w:fill="EAF1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Test-set ROC-AUC</w:t>
            </w:r>
          </w:p>
        </w:tc>
        <w:tc>
          <w:tcPr>
            <w:tcW w:type="dxa" w:w="4600"/>
            <w:shd w:fill="EAF1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0.868</w:t>
            </w:r>
          </w:p>
        </w:tc>
      </w:tr>
      <w:tr>
        <w:tc>
          <w:tcPr>
            <w:tcW w:type="dxa" w:w="4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Test-set Accuracy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86.7%</w:t>
            </w:r>
          </w:p>
        </w:tc>
      </w:tr>
      <w:tr>
        <w:tc>
          <w:tcPr>
            <w:tcW w:type="dxa" w:w="4600"/>
            <w:shd w:fill="EAF1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Recall (churners correctly identified)</w:t>
            </w:r>
          </w:p>
        </w:tc>
        <w:tc>
          <w:tcPr>
            <w:tcW w:type="dxa" w:w="4600"/>
            <w:shd w:fill="EAF1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49.6%</w:t>
            </w:r>
          </w:p>
        </w:tc>
      </w:tr>
      <w:tr>
        <w:tc>
          <w:tcPr>
            <w:tcW w:type="dxa" w:w="4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Precision (false-alarm control)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76.8%</w:t>
            </w:r>
          </w:p>
        </w:tc>
      </w:tr>
      <w:tr>
        <w:tc>
          <w:tcPr>
            <w:tcW w:type="dxa" w:w="4600"/>
            <w:shd w:fill="EAF1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Top churn drivers</w:t>
            </w:r>
          </w:p>
        </w:tc>
        <w:tc>
          <w:tcPr>
            <w:tcW w:type="dxa" w:w="4600"/>
            <w:shd w:fill="EAF1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 of products, Age</w:t>
            </w:r>
          </w:p>
        </w:tc>
      </w:tr>
    </w:tbl>
    <w:p>
      <w:pPr>
        <w:spacing w:before="200"/>
      </w:pPr>
    </w:p>
    <w:p>
      <w:pPr>
        <w:pStyle w:val="Heading1"/>
        <w:spacing w:after="160" w:before="300"/>
      </w:pPr>
      <w:r>
        <w:t xml:space="preserve">What This Means for Strategy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The bank can now score its full customer base monthly and prioritize retention outreach by risk decile, instead of reacting after a complaint or closure request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</w:rPr>
        <w:t xml:space="preserve">Product count above 2 is a strong, actionable risk signal — not a cross-sell success metric — and should trigger review, not further selling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</w:rPr>
        <w:t xml:space="preserve">Age-based segmentation should inform retention messaging, since age is the second-strongest and most consistent churn predictor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</w:rPr>
        <w:t xml:space="preserve">A live dashboard lets any team member score an individual customer or simulate a change (e.g. reactivating an inactive customer) before committing budget to an intervention</w:t>
      </w:r>
    </w:p>
    <w:p>
      <w:pPr>
        <w:pStyle w:val="Heading1"/>
        <w:spacing w:after="160" w:before="300"/>
      </w:pPr>
      <w:r>
        <w:t xml:space="preserve">Recommended Actions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</w:rPr>
        <w:t xml:space="preserve">Operationalize monthly batch scoring and route the highest-risk decile to the retention team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</w:rPr>
        <w:t xml:space="preserve">Flag all 3+ product accounts for manual review rather than further cross-sell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</w:rPr>
        <w:t xml:space="preserve">Retrain the model quarterly and monitor feature-importance drift as new churn outcomes accumulate</w:t>
      </w:r>
    </w:p>
    <w:p>
      <w:pPr>
        <w:spacing w:before="160"/>
      </w:pPr>
    </w:p>
    <w:p>
      <w:pPr>
        <w:spacing w:after="140"/>
        <w:jc w:val="both"/>
      </w:pPr>
      <w:r>
        <w:t xml:space="preserve">Full methodology, model comparison, and SHAP-based explainability analysis are provided in the accompanying research paper and interactive risk-scoring dashboard.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6263B" w:sz="6" w:space="4"/>
      </w:pBdr>
      <w:spacing w:after="160" w:before="300"/>
    </w:pPr>
    <w:rPr>
      <w:rFonts w:ascii="Calibri" w:cs="Calibri" w:eastAsia="Calibri" w:hAnsi="Calibri"/>
      <w:b/>
      <w:bCs/>
      <w:color w:val="1626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29f3244f692cb2dcaa4dbe926f3fe6a951bf8e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2026-09-14T05:21:01.223Z</dcterms:created>
  <dcterms:modified xsi:type="dcterms:W3CDTF">2026-09-14T05:21:01.223Z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