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Pre-Launch Sync Notes</w:t>
      </w:r>
    </w:p>
    <w:p>
      <w:r>
        <w:rPr>
          <w:b/>
        </w:rPr>
        <w:t>Feature:</w:t>
      </w:r>
      <w:r>
        <w:t xml:space="preserve"> Collection Account Automation (Merchant Layer) </w:t>
      </w:r>
      <w:r>
        <w:rPr>
          <w:b/>
        </w:rPr>
        <w:t>Go-live:</w:t>
      </w:r>
      <w:r>
        <w:t xml:space="preserve"> TBC </w:t>
      </w:r>
      <w:r>
        <w:rPr>
          <w:b/>
        </w:rPr>
        <w:t>Date generated:</w:t>
      </w:r>
      <w:r>
        <w:t xml:space="preserve"> 2026-05-28 </w:t>
      </w:r>
      <w:r>
        <w:rPr>
          <w:b/>
        </w:rPr>
        <w:t>Teams covered:</w:t>
      </w:r>
      <w:r>
        <w:t xml:space="preserve"> Compliance — Onboarding, Compliance — Transaction Monitoring, Risk, Payment Operations, Treasury, Sales / Account Management, Legal / Licensing, Banking Partnerships / Payments Pod</w:t>
      </w:r>
    </w:p>
    <w:p>
      <w:r>
        <w:rPr>
          <w:i/>
          <w:color w:val="555555"/>
        </w:rPr>
        <w:t>⚠️ "Teams to Brief" not found in PRD — selected the 8 most-impacted teams. Add a "## Teams to Brief" section to the PRD to lock the list.</w:t>
      </w:r>
    </w:p>
    <w:p>
      <w:pPr>
        <w:pStyle w:val="Heading2"/>
      </w:pPr>
      <w:r>
        <w:t>Common Context</w:t>
      </w:r>
    </w:p>
    <w:p>
      <w:r>
        <w:rPr>
          <w:i/>
          <w:color w:val="555555"/>
        </w:rPr>
        <w:t>Read this first. All team sections below assume you've read this.</w:t>
      </w:r>
    </w:p>
    <w:p>
      <w:r>
        <w:rPr>
          <w:b/>
        </w:rPr>
        <w:t>Why we're doing this</w:t>
      </w:r>
      <w:r>
        <w:t xml:space="preserve"> Treasury upside — more collection accounts at Tazapay means more collects and more merchant balances parked with us. Today fintechs and platforms can't request VAs and wallets on the fly for their customers; they go through support or sales each time. This launch makes the request flow self-serve via API and dashboard for Virtual Accounts (fiat) and stablecoin wallets (USDT/USDC).</w:t>
      </w:r>
    </w:p>
    <w:p>
      <w:r>
        <w:rPr>
          <w:b/>
        </w:rPr>
        <w:t>What's changing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F2F2F2"/>
          </w:tcPr>
          <w:p>
            <w:r>
              <w:rPr>
                <w:b/>
              </w:rPr>
            </w:r>
            <w:r>
              <w:rPr>
                <w:b/>
              </w:rPr>
              <w:t>Area</w:t>
            </w:r>
          </w:p>
        </w:tc>
        <w:tc>
          <w:tcPr>
            <w:tcW w:type="dxa" w:w="3408"/>
            <w:shd w:val="clear" w:color="auto" w:fill="F2F2F2"/>
          </w:tcPr>
          <w:p>
            <w:r>
              <w:rPr>
                <w:b/>
              </w:rPr>
            </w:r>
            <w:r>
              <w:rPr>
                <w:b/>
              </w:rPr>
              <w:t>What changes</w:t>
            </w:r>
          </w:p>
        </w:tc>
        <w:tc>
          <w:tcPr>
            <w:tcW w:type="dxa" w:w="3408"/>
            <w:shd w:val="clear" w:color="auto" w:fill="F2F2F2"/>
          </w:tcPr>
          <w:p>
            <w:r>
              <w:rPr>
                <w:b/>
              </w:rPr>
            </w:r>
            <w:r>
              <w:rPr>
                <w:b/>
              </w:rPr>
              <w:t>Who this affects</w:t>
            </w:r>
          </w:p>
        </w:tc>
      </w:tr>
      <w:tr>
        <w:tc>
          <w:tcPr>
            <w:tcW w:type="dxa" w:w="3408"/>
          </w:tcPr>
          <w:p>
            <w:r/>
            <w:r>
              <w:t>Account creation</w:t>
            </w:r>
          </w:p>
        </w:tc>
        <w:tc>
          <w:tcPr>
            <w:tcW w:type="dxa" w:w="3408"/>
          </w:tcPr>
          <w:p>
            <w:r/>
            <w:r>
              <w:t xml:space="preserve">Self-serve </w:t>
            </w:r>
            <w:r>
              <w:rPr>
                <w:rFonts w:ascii="Menlo" w:hAnsi="Menlo"/>
                <w:sz w:val="20"/>
              </w:rPr>
              <w:t>POST /v3/collection_account</w:t>
            </w:r>
            <w:r>
              <w:t xml:space="preserve"> for Virtual Accounts and stablecoin wallets (USDT/USDC across multiple blockchains)</w:t>
            </w:r>
          </w:p>
        </w:tc>
        <w:tc>
          <w:tcPr>
            <w:tcW w:type="dxa" w:w="3408"/>
          </w:tcPr>
          <w:p>
            <w:r/>
            <w:r>
              <w:t>All API + dashboard merchants with collections enabled</w:t>
            </w:r>
          </w:p>
        </w:tc>
      </w:tr>
      <w:tr>
        <w:tc>
          <w:tcPr>
            <w:tcW w:type="dxa" w:w="3408"/>
          </w:tcPr>
          <w:p>
            <w:r/>
            <w:r>
              <w:t>Capability discovery</w:t>
            </w:r>
          </w:p>
        </w:tc>
        <w:tc>
          <w:tcPr>
            <w:tcW w:type="dxa" w:w="3408"/>
          </w:tcPr>
          <w:p>
            <w:r/>
            <w:r>
              <w:t xml:space="preserve">New </w:t>
            </w:r>
            <w:r>
              <w:rPr>
                <w:rFonts w:ascii="Menlo" w:hAnsi="Menlo"/>
                <w:sz w:val="20"/>
              </w:rPr>
              <w:t>GET /v3/metadata/collection_accounts/virtual_account</w:t>
            </w:r>
            <w:r>
              <w:t xml:space="preserve"> and </w:t>
            </w:r>
            <w:r>
              <w:rPr>
                <w:rFonts w:ascii="Menlo" w:hAnsi="Menlo"/>
                <w:sz w:val="20"/>
              </w:rPr>
              <w:t>/wallet</w:t>
            </w:r>
            <w:r>
              <w:t xml:space="preserve"> endpoints; capabilities and provider ranking driven by N8N (business-editable)</w:t>
            </w:r>
          </w:p>
        </w:tc>
        <w:tc>
          <w:tcPr>
            <w:tcW w:type="dxa" w:w="3408"/>
          </w:tcPr>
          <w:p>
            <w:r/>
            <w:r>
              <w:t>Merchants + Sales pitching coverage</w:t>
            </w:r>
          </w:p>
        </w:tc>
      </w:tr>
      <w:tr>
        <w:tc>
          <w:tcPr>
            <w:tcW w:type="dxa" w:w="3408"/>
          </w:tcPr>
          <w:p>
            <w:r/>
            <w:r>
              <w:t>Request lifecycle</w:t>
            </w:r>
          </w:p>
        </w:tc>
        <w:tc>
          <w:tcPr>
            <w:tcW w:type="dxa" w:w="3408"/>
          </w:tcPr>
          <w:p>
            <w:r/>
            <w:r>
              <w:t xml:space="preserve">New state machine: </w:t>
            </w:r>
            <w:r>
              <w:rPr>
                <w:rFonts w:ascii="Menlo" w:hAnsi="Menlo"/>
                <w:sz w:val="20"/>
              </w:rPr>
              <w:t>NOT_INITIATED → INITIATED → SUCCEEDED / FAILED / REQUIRES_ACTION / APPROVAL_HOLD / PROCESSING_RETRY / CANCELLED</w:t>
            </w:r>
          </w:p>
        </w:tc>
        <w:tc>
          <w:tcPr>
            <w:tcW w:type="dxa" w:w="3408"/>
          </w:tcPr>
          <w:p>
            <w:r/>
            <w:r>
              <w:t>Ops + merchants</w:t>
            </w:r>
          </w:p>
        </w:tc>
      </w:tr>
      <w:tr>
        <w:tc>
          <w:tcPr>
            <w:tcW w:type="dxa" w:w="3408"/>
          </w:tcPr>
          <w:p>
            <w:r/>
            <w:r>
              <w:t>Approval gate</w:t>
            </w:r>
          </w:p>
        </w:tc>
        <w:tc>
          <w:tcPr>
            <w:tcW w:type="dxa" w:w="3408"/>
          </w:tcPr>
          <w:p>
            <w:r/>
            <w:r>
              <w:t xml:space="preserve">Collect-purpose entities must clear full KYB and entity approval before VA/wallet creation; requests sit in </w:t>
            </w:r>
            <w:r>
              <w:rPr>
                <w:rFonts w:ascii="Menlo" w:hAnsi="Menlo"/>
                <w:sz w:val="20"/>
              </w:rPr>
              <w:t>APPROVAL_HOLD</w:t>
            </w:r>
            <w:r>
              <w:t xml:space="preserve"> until cleared</w:t>
            </w:r>
          </w:p>
        </w:tc>
        <w:tc>
          <w:tcPr>
            <w:tcW w:type="dxa" w:w="3408"/>
          </w:tcPr>
          <w:p>
            <w:r/>
            <w:r>
              <w:t>Compliance Onboarding + merchants</w:t>
            </w:r>
          </w:p>
        </w:tc>
      </w:tr>
      <w:tr>
        <w:tc>
          <w:tcPr>
            <w:tcW w:type="dxa" w:w="3408"/>
          </w:tcPr>
          <w:p>
            <w:r/>
            <w:r>
              <w:t>Webhooks and emails</w:t>
            </w:r>
          </w:p>
        </w:tc>
        <w:tc>
          <w:tcPr>
            <w:tcW w:type="dxa" w:w="3408"/>
          </w:tcPr>
          <w:p>
            <w:r/>
            <w:r>
              <w:t>9 new events (</w:t>
            </w:r>
            <w:r>
              <w:rPr>
                <w:rFonts w:ascii="Menlo" w:hAnsi="Menlo"/>
                <w:sz w:val="20"/>
              </w:rPr>
              <w:t>creation_failed</w:t>
            </w:r>
            <w:r>
              <w:t xml:space="preserve">, </w:t>
            </w:r>
            <w:r>
              <w:rPr>
                <w:rFonts w:ascii="Menlo" w:hAnsi="Menlo"/>
                <w:sz w:val="20"/>
              </w:rPr>
              <w:t>creation_requires_action</w:t>
            </w:r>
            <w:r>
              <w:t xml:space="preserve">, </w:t>
            </w:r>
            <w:r>
              <w:rPr>
                <w:rFonts w:ascii="Menlo" w:hAnsi="Menlo"/>
                <w:sz w:val="20"/>
              </w:rPr>
              <w:t>creation_under_approval_hold</w:t>
            </w:r>
            <w:r>
              <w:t xml:space="preserve">, </w:t>
            </w:r>
            <w:r>
              <w:rPr>
                <w:rFonts w:ascii="Menlo" w:hAnsi="Menlo"/>
                <w:sz w:val="20"/>
              </w:rPr>
              <w:t>creation_under_processing</w:t>
            </w:r>
            <w:r>
              <w:t xml:space="preserve">, </w:t>
            </w:r>
            <w:r>
              <w:rPr>
                <w:rFonts w:ascii="Menlo" w:hAnsi="Menlo"/>
                <w:sz w:val="20"/>
              </w:rPr>
              <w:t>creation_cancelled</w:t>
            </w:r>
            <w:r>
              <w:t xml:space="preserve">, plus four </w:t>
            </w:r>
            <w:r>
              <w:rPr>
                <w:rFonts w:ascii="Menlo" w:hAnsi="Menlo"/>
                <w:sz w:val="20"/>
              </w:rPr>
              <w:t>disablement_*</w:t>
            </w:r>
            <w:r>
              <w:t xml:space="preserve"> variants); all email templates updated with Supported Currencies</w:t>
            </w:r>
          </w:p>
        </w:tc>
        <w:tc>
          <w:tcPr>
            <w:tcW w:type="dxa" w:w="3408"/>
          </w:tcPr>
          <w:p>
            <w:r/>
            <w:r>
              <w:t>All collection-account merchants</w:t>
            </w:r>
          </w:p>
        </w:tc>
      </w:tr>
      <w:tr>
        <w:tc>
          <w:tcPr>
            <w:tcW w:type="dxa" w:w="3408"/>
          </w:tcPr>
          <w:p>
            <w:r/>
            <w:r>
              <w:t>Fees</w:t>
            </w:r>
          </w:p>
        </w:tc>
        <w:tc>
          <w:tcPr>
            <w:tcW w:type="dxa" w:w="3408"/>
          </w:tcPr>
          <w:p>
            <w:r/>
            <w:r>
              <w:t xml:space="preserve">New </w:t>
            </w:r>
            <w:r>
              <w:rPr>
                <w:rFonts w:ascii="Menlo" w:hAnsi="Menlo"/>
                <w:sz w:val="20"/>
              </w:rPr>
              <w:t>balance_transaction.type = collection_account_creation</w:t>
            </w:r>
            <w:r>
              <w:t xml:space="preserve"> with </w:t>
            </w:r>
            <w:r>
              <w:rPr>
                <w:rFonts w:ascii="Menlo" w:hAnsi="Menlo"/>
                <w:sz w:val="20"/>
              </w:rPr>
              <w:t>one_time_setup_fee</w:t>
            </w:r>
            <w:r>
              <w:t xml:space="preserve"> and </w:t>
            </w:r>
            <w:r>
              <w:rPr>
                <w:rFonts w:ascii="Menlo" w:hAnsi="Menlo"/>
                <w:sz w:val="20"/>
              </w:rPr>
              <w:t>maintenance_fee</w:t>
            </w:r>
            <w:r>
              <w:t xml:space="preserve"> (monthly/yearly), configurable per merchant with capability-level defaults</w:t>
            </w:r>
          </w:p>
        </w:tc>
        <w:tc>
          <w:tcPr>
            <w:tcW w:type="dxa" w:w="3408"/>
          </w:tcPr>
          <w:p>
            <w:r/>
            <w:r>
              <w:t>Merchants + Finance + Sales</w:t>
            </w:r>
          </w:p>
        </w:tc>
      </w:tr>
      <w:tr>
        <w:tc>
          <w:tcPr>
            <w:tcW w:type="dxa" w:w="3408"/>
          </w:tcPr>
          <w:p>
            <w:r/>
            <w:r>
              <w:t>RBAC</w:t>
            </w:r>
          </w:p>
        </w:tc>
        <w:tc>
          <w:tcPr>
            <w:tcW w:type="dxa" w:w="3408"/>
          </w:tcPr>
          <w:p>
            <w:r/>
            <w:r>
              <w:t xml:space="preserve">New </w:t>
            </w:r>
            <w:r>
              <w:rPr>
                <w:rFonts w:ascii="Menlo" w:hAnsi="Menlo"/>
                <w:sz w:val="20"/>
              </w:rPr>
              <w:t>Global Collection account</w:t>
            </w:r>
            <w:r>
              <w:t xml:space="preserve"> permission group with </w:t>
            </w:r>
            <w:r>
              <w:rPr>
                <w:rFonts w:ascii="Menlo" w:hAnsi="Menlo"/>
                <w:sz w:val="20"/>
              </w:rPr>
              <w:t>View</w:t>
            </w:r>
            <w:r>
              <w:t xml:space="preserve"> (default for existing managers) and </w:t>
            </w:r>
            <w:r>
              <w:rPr>
                <w:rFonts w:ascii="Menlo" w:hAnsi="Menlo"/>
                <w:sz w:val="20"/>
              </w:rPr>
              <w:t>Manage account</w:t>
            </w:r>
          </w:p>
        </w:tc>
        <w:tc>
          <w:tcPr>
            <w:tcW w:type="dxa" w:w="3408"/>
          </w:tcPr>
          <w:p>
            <w:r/>
            <w:r>
              <w:t>Merchant dashboard users</w:t>
            </w:r>
          </w:p>
        </w:tc>
      </w:tr>
      <w:tr>
        <w:tc>
          <w:tcPr>
            <w:tcW w:type="dxa" w:w="3408"/>
          </w:tcPr>
          <w:p>
            <w:r/>
            <w:r>
              <w:t>Wallet vs VA behaviour</w:t>
            </w:r>
          </w:p>
        </w:tc>
        <w:tc>
          <w:tcPr>
            <w:tcW w:type="dxa" w:w="3408"/>
          </w:tcPr>
          <w:p>
            <w:r/>
            <w:r>
              <w:t>Wallets cannot be disabled — disablement removed from ops and merchant dashboards; VA disablement soft-deletes on at least one provider, supporting re-enablement on the same account</w:t>
            </w:r>
          </w:p>
        </w:tc>
        <w:tc>
          <w:tcPr>
            <w:tcW w:type="dxa" w:w="3408"/>
          </w:tcPr>
          <w:p>
            <w:r/>
            <w:r>
              <w:t>Ops + merchants</w:t>
            </w:r>
          </w:p>
        </w:tc>
      </w:tr>
    </w:tbl>
    <w:p/>
    <w:p>
      <w:r>
        <w:rPr>
          <w:b/>
        </w:rPr>
        <w:t>At a glance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color="auto" w:fill="F2F2F2"/>
          </w:tcPr>
          <w:p>
            <w:r>
              <w:rPr>
                <w:b/>
              </w:rPr>
            </w:r>
          </w:p>
        </w:tc>
        <w:tc>
          <w:tcPr>
            <w:tcW w:type="dxa" w:w="5112"/>
            <w:shd w:val="clear" w:color="auto" w:fill="F2F2F2"/>
          </w:tcPr>
          <w:p>
            <w:r>
              <w:rPr>
                <w:b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</w:rPr>
              <w:t>Geographies</w:t>
            </w:r>
          </w:p>
        </w:tc>
        <w:tc>
          <w:tcPr>
            <w:tcW w:type="dxa" w:w="5112"/>
          </w:tcPr>
          <w:p>
            <w:r/>
            <w:r>
              <w:t>Multiple — surfaced dynamically via N8N capability workflow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</w:rPr>
              <w:t>Entity types</w:t>
            </w:r>
          </w:p>
        </w:tc>
        <w:tc>
          <w:tcPr>
            <w:tcW w:type="dxa" w:w="5112"/>
          </w:tcPr>
          <w:p>
            <w:r/>
            <w:r>
              <w:t xml:space="preserve">Merchants directly, plus sub-entities via </w:t>
            </w:r>
            <w:r>
              <w:rPr>
                <w:rFonts w:ascii="Menlo" w:hAnsi="Menlo"/>
                <w:sz w:val="20"/>
              </w:rPr>
              <w:t>on_behalf_of</w:t>
            </w:r>
            <w:r>
              <w:t xml:space="preserve"> (per-capability </w:t>
            </w:r>
            <w:r>
              <w:rPr>
                <w:rFonts w:ascii="Menlo" w:hAnsi="Menlo"/>
                <w:sz w:val="20"/>
              </w:rPr>
              <w:t>restricted_industry_verticals</w:t>
            </w:r>
            <w:r>
              <w:t>)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</w:rPr>
              <w:t>Customer segments</w:t>
            </w:r>
          </w:p>
        </w:tc>
        <w:tc>
          <w:tcPr>
            <w:tcW w:type="dxa" w:w="5112"/>
          </w:tcPr>
          <w:p>
            <w:r/>
            <w:r>
              <w:t>All API-integrated and dashboard merchants with collections enabled; fintechs and platforms primary target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</w:rPr>
              <w:t>Payment rails / PSPs</w:t>
            </w:r>
          </w:p>
        </w:tc>
        <w:tc>
          <w:tcPr>
            <w:tcW w:type="dxa" w:w="5112"/>
          </w:tcPr>
          <w:p>
            <w:r/>
            <w:r>
              <w:t>Multiple fiat VA providers and stablecoin rails — capability and ranking driven by N8N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</w:rPr>
              <w:t>New corridors / currencies</w:t>
            </w:r>
          </w:p>
        </w:tc>
        <w:tc>
          <w:tcPr>
            <w:tcW w:type="dxa" w:w="5112"/>
          </w:tcPr>
          <w:p>
            <w:r/>
            <w:r>
              <w:t>TBC — surfaced via N8N capability workflow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</w:rPr>
              <w:t>Rollout strategy</w:t>
            </w:r>
          </w:p>
        </w:tc>
        <w:tc>
          <w:tcPr>
            <w:tcW w:type="dxa" w:w="5112"/>
          </w:tcPr>
          <w:p>
            <w:r/>
            <w:r>
              <w:t>TBC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</w:rPr>
              <w:t>Sardine involved</w:t>
            </w:r>
          </w:p>
        </w:tc>
        <w:tc>
          <w:tcPr>
            <w:tcW w:type="dxa" w:w="5112"/>
          </w:tcPr>
          <w:p>
            <w:r/>
            <w:r>
              <w:t>No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</w:rPr>
              <w:t>Forter involved</w:t>
            </w:r>
          </w:p>
        </w:tc>
        <w:tc>
          <w:tcPr>
            <w:tcW w:type="dxa" w:w="5112"/>
          </w:tcPr>
          <w:p>
            <w:r/>
            <w:r>
              <w:t>No</w:t>
            </w:r>
          </w:p>
        </w:tc>
      </w:tr>
    </w:tbl>
    <w:p/>
    <w:p>
      <w:r>
        <w:rPr>
          <w:b/>
        </w:rPr>
        <w:t>Open questions (from PRD)</w:t>
      </w:r>
    </w:p>
    <w:p>
      <w:pPr>
        <w:pStyle w:val="ListBullet"/>
      </w:pPr>
      <w:r>
        <w:t>Soft-delete-then-re-enable on the same account — engineering to verify across all providers, not just the one confirmed</w:t>
      </w:r>
    </w:p>
    <w:p>
      <w:pPr>
        <w:pStyle w:val="ListBullet"/>
      </w:pPr>
      <w:r>
        <w:t xml:space="preserve">File size limits for </w:t>
      </w:r>
      <w:r>
        <w:rPr>
          <w:rFonts w:ascii="Menlo" w:hAnsi="Menlo"/>
          <w:sz w:val="20"/>
        </w:rPr>
        <w:t>REQUIRES_ACTION</w:t>
      </w:r>
      <w:r>
        <w:t xml:space="preserve"> document uploads — engineering to confirm</w:t>
      </w:r>
    </w:p>
    <w:p>
      <w:pPr>
        <w:pStyle w:val="ListBullet"/>
      </w:pPr>
      <w:r>
        <w:t>N8N provider-ranking coverage at launch for every active capability</w:t>
      </w:r>
    </w:p>
    <w:p>
      <w:pPr>
        <w:pStyle w:val="ListBullet"/>
      </w:pPr>
      <w:r>
        <w:t>Account-closure rejection — confirmed to fall back to active, but end-to-end UX to verify</w:t>
      </w:r>
    </w:p>
    <w:p>
      <w:pPr>
        <w:pStyle w:val="Heading2"/>
      </w:pPr>
      <w:r>
        <w:t>Compliance — Onboarding</w:t>
      </w:r>
    </w:p>
    <w:p>
      <w:r>
        <w:rPr>
          <w:b/>
        </w:rPr>
        <w:t>Actions</w:t>
      </w:r>
    </w:p>
    <w:p>
      <w:pPr>
        <w:pStyle w:val="ListBullet"/>
      </w:pPr>
      <w:r>
        <w:t xml:space="preserve">Sign off on </w:t>
      </w:r>
      <w:r>
        <w:rPr>
          <w:rFonts w:ascii="Menlo" w:hAnsi="Menlo"/>
          <w:sz w:val="20"/>
        </w:rPr>
        <w:t>APPROVAL_HOLD</w:t>
      </w:r>
      <w:r>
        <w:t xml:space="preserve"> — every collect-purpose entity needs full KYB and entity approval before VA/wallet creation</w:t>
      </w:r>
    </w:p>
    <w:p>
      <w:pPr>
        <w:pStyle w:val="ListBullet"/>
      </w:pPr>
      <w:r>
        <w:t>Define SLA for the approval queue — delays here block self-serve creation on both API and dashboard</w:t>
      </w:r>
    </w:p>
    <w:p>
      <w:pPr>
        <w:pStyle w:val="Heading2"/>
      </w:pPr>
      <w:r>
        <w:t>Compliance — Transaction Monitoring</w:t>
      </w:r>
    </w:p>
    <w:p>
      <w:r>
        <w:rPr>
          <w:b/>
        </w:rPr>
        <w:t>Actions</w:t>
      </w:r>
    </w:p>
    <w:p>
      <w:pPr>
        <w:pStyle w:val="ListBullet"/>
      </w:pPr>
      <w:r>
        <w:t>Confirm rule coverage for stablecoin USDT/USDC collects across the supported blockchains</w:t>
      </w:r>
    </w:p>
    <w:p>
      <w:pPr>
        <w:pStyle w:val="ListBullet"/>
      </w:pPr>
      <w:r>
        <w:t xml:space="preserve">Validate alert routing when collects are attributed to a sub-entity via </w:t>
      </w:r>
      <w:r>
        <w:rPr>
          <w:rFonts w:ascii="Menlo" w:hAnsi="Menlo"/>
          <w:sz w:val="20"/>
        </w:rPr>
        <w:t>on_behalf_of</w:t>
      </w:r>
    </w:p>
    <w:p>
      <w:pPr>
        <w:pStyle w:val="Heading2"/>
      </w:pPr>
      <w:r>
        <w:t>Risk</w:t>
      </w:r>
    </w:p>
    <w:p>
      <w:r>
        <w:rPr>
          <w:b/>
        </w:rPr>
        <w:t>Actions</w:t>
      </w:r>
    </w:p>
    <w:p>
      <w:pPr>
        <w:pStyle w:val="ListBullet"/>
      </w:pPr>
      <w:r>
        <w:t xml:space="preserve">Sign off on per-capability </w:t>
      </w:r>
      <w:r>
        <w:rPr>
          <w:rFonts w:ascii="Menlo" w:hAnsi="Menlo"/>
          <w:sz w:val="20"/>
        </w:rPr>
        <w:t>restricted_industry_verticals</w:t>
      </w:r>
      <w:r>
        <w:t xml:space="preserve"> for </w:t>
      </w:r>
      <w:r>
        <w:rPr>
          <w:rFonts w:ascii="Menlo" w:hAnsi="Menlo"/>
          <w:sz w:val="20"/>
        </w:rPr>
        <w:t>on_behalf_of</w:t>
      </w:r>
      <w:r>
        <w:t xml:space="preserve"> collects</w:t>
      </w:r>
    </w:p>
    <w:p>
      <w:pPr>
        <w:pStyle w:val="ListBullet"/>
      </w:pPr>
      <w:r>
        <w:t>Define risk posture for stablecoin wallet collects — USDT/USDC across multiple blockchains is a new surface</w:t>
      </w:r>
    </w:p>
    <w:p>
      <w:pPr>
        <w:pStyle w:val="ListBullet"/>
      </w:pPr>
      <w:r>
        <w:t xml:space="preserve">Confirm </w:t>
      </w:r>
      <w:r>
        <w:rPr>
          <w:rFonts w:ascii="Menlo" w:hAnsi="Menlo"/>
          <w:sz w:val="20"/>
        </w:rPr>
        <w:t>PROCESSING_RETRY</w:t>
      </w:r>
      <w:r>
        <w:t xml:space="preserve"> audit trail — ops-triggered retry fails the original request and creates a new one</w:t>
      </w:r>
    </w:p>
    <w:p>
      <w:pPr>
        <w:pStyle w:val="Heading2"/>
      </w:pPr>
      <w:r>
        <w:t>Payment Operations</w:t>
      </w:r>
    </w:p>
    <w:p>
      <w:r>
        <w:rPr>
          <w:b/>
        </w:rPr>
        <w:t>Ops actions</w:t>
      </w:r>
    </w:p>
    <w:p>
      <w:pPr>
        <w:pStyle w:val="ListBullet"/>
      </w:pPr>
      <w:r>
        <w:t xml:space="preserve">Define triage owner and SLA for </w:t>
      </w:r>
      <w:r>
        <w:rPr>
          <w:rFonts w:ascii="Menlo" w:hAnsi="Menlo"/>
          <w:sz w:val="20"/>
        </w:rPr>
        <w:t>APPROVAL_HOLD</w:t>
      </w:r>
      <w:r>
        <w:t xml:space="preserve">, </w:t>
      </w:r>
      <w:r>
        <w:rPr>
          <w:rFonts w:ascii="Menlo" w:hAnsi="Menlo"/>
          <w:sz w:val="20"/>
        </w:rPr>
        <w:t>REQUIRES_ACTION</w:t>
      </w:r>
      <w:r>
        <w:t xml:space="preserve">, and </w:t>
      </w:r>
      <w:r>
        <w:rPr>
          <w:rFonts w:ascii="Menlo" w:hAnsi="Menlo"/>
          <w:sz w:val="20"/>
        </w:rPr>
        <w:t>PROCESSING_RETRY</w:t>
      </w:r>
    </w:p>
    <w:p>
      <w:pPr>
        <w:pStyle w:val="ListBullet"/>
      </w:pPr>
      <w:r>
        <w:t xml:space="preserve">Confirm reconciliation for </w:t>
      </w:r>
      <w:r>
        <w:rPr>
          <w:rFonts w:ascii="Menlo" w:hAnsi="Menlo"/>
          <w:sz w:val="20"/>
        </w:rPr>
        <w:t>one_time_setup_fee</w:t>
      </w:r>
      <w:r>
        <w:t xml:space="preserve"> and </w:t>
      </w:r>
      <w:r>
        <w:rPr>
          <w:rFonts w:ascii="Menlo" w:hAnsi="Menlo"/>
          <w:sz w:val="20"/>
        </w:rPr>
        <w:t>maintenance_fee</w:t>
      </w:r>
      <w:r>
        <w:t xml:space="preserve"> balance transactions</w:t>
      </w:r>
    </w:p>
    <w:p>
      <w:pPr>
        <w:pStyle w:val="ListBullet"/>
      </w:pPr>
      <w:r>
        <w:t>Remove disablement from ops and merchant dashboards for wallets — wallets cannot be disabled</w:t>
      </w:r>
    </w:p>
    <w:p>
      <w:r>
        <w:rPr>
          <w:b/>
        </w:rPr>
        <w:t>Partner onboarding actions</w:t>
      </w:r>
    </w:p>
    <w:p>
      <w:pPr>
        <w:pStyle w:val="ListBullet"/>
      </w:pPr>
      <w:r>
        <w:t>Verify sandbox simulates state transitions, retries, and webhooks across all capabilities</w:t>
      </w:r>
    </w:p>
    <w:p>
      <w:pPr>
        <w:pStyle w:val="Heading2"/>
      </w:pPr>
      <w:r>
        <w:t>Treasury</w:t>
      </w:r>
    </w:p>
    <w:p>
      <w:r>
        <w:rPr>
          <w:b/>
        </w:rPr>
        <w:t>Context</w:t>
      </w:r>
      <w:r>
        <w:t xml:space="preserve"> PRD motivates this launch by treasury upside — more collection accounts = more collects = more merchant balances parked with Tazapay.</w:t>
      </w:r>
    </w:p>
    <w:p>
      <w:r>
        <w:rPr>
          <w:b/>
        </w:rPr>
        <w:t>Actions</w:t>
      </w:r>
    </w:p>
    <w:p>
      <w:pPr>
        <w:pStyle w:val="ListBullet"/>
      </w:pPr>
      <w:r>
        <w:t>Model expected uplift in collect volumes and balances held — volumes TBC, confirm with Product</w:t>
      </w:r>
    </w:p>
    <w:p>
      <w:pPr>
        <w:pStyle w:val="ListBullet"/>
      </w:pPr>
      <w:r>
        <w:t>Define liquidity approach for stablecoin wallet custody — USDT/USDC across multiple blockchains is new scope</w:t>
      </w:r>
    </w:p>
    <w:p>
      <w:pPr>
        <w:pStyle w:val="Heading2"/>
      </w:pPr>
      <w:r>
        <w:t>Sales / Account Management</w:t>
      </w:r>
    </w:p>
    <w:p>
      <w:r>
        <w:rPr>
          <w:b/>
        </w:rPr>
        <w:t>Actions</w:t>
      </w:r>
    </w:p>
    <w:p>
      <w:pPr>
        <w:pStyle w:val="ListBullet"/>
      </w:pPr>
      <w:r>
        <w:t>Pitch self-serve VA/wallet creation to fintech and platform prospects — primary target per PRD</w:t>
      </w:r>
    </w:p>
    <w:p>
      <w:pPr>
        <w:pStyle w:val="ListBullet"/>
      </w:pPr>
      <w:r>
        <w:t xml:space="preserve">Align commercial terms on </w:t>
      </w:r>
      <w:r>
        <w:rPr>
          <w:rFonts w:ascii="Menlo" w:hAnsi="Menlo"/>
          <w:sz w:val="20"/>
        </w:rPr>
        <w:t>one_time_setup_fee</w:t>
      </w:r>
      <w:r>
        <w:t xml:space="preserve"> and </w:t>
      </w:r>
      <w:r>
        <w:rPr>
          <w:rFonts w:ascii="Menlo" w:hAnsi="Menlo"/>
          <w:sz w:val="20"/>
        </w:rPr>
        <w:t>maintenance_fee</w:t>
      </w:r>
      <w:r>
        <w:t xml:space="preserve"> — both configurable per merchant</w:t>
      </w:r>
    </w:p>
    <w:p>
      <w:r>
        <w:rPr>
          <w:b/>
        </w:rPr>
        <w:t>Watch-out</w:t>
      </w:r>
    </w:p>
    <w:p>
      <w:pPr>
        <w:pStyle w:val="ListBullet"/>
      </w:pPr>
      <w:r>
        <w:t>Launch coverage is bounded by what the metadata API returns — do not promise unsupported country, currency, or account-type combinations</w:t>
      </w:r>
    </w:p>
    <w:p>
      <w:pPr>
        <w:pStyle w:val="Heading2"/>
      </w:pPr>
      <w:r>
        <w:t>Legal / Licensing</w:t>
      </w:r>
    </w:p>
    <w:p>
      <w:r>
        <w:rPr>
          <w:b/>
        </w:rPr>
        <w:t>Actions</w:t>
      </w:r>
    </w:p>
    <w:p>
      <w:pPr>
        <w:pStyle w:val="ListBullet"/>
      </w:pPr>
      <w:r>
        <w:t>Map every capability returned by the metadata API to existing licence scope — flag out-of-scope jurisdictions</w:t>
      </w:r>
    </w:p>
    <w:p>
      <w:pPr>
        <w:pStyle w:val="ListBullet"/>
      </w:pPr>
      <w:r>
        <w:t>Confirm stablecoin custody (USDT/USDC across multiple blockchains) sits within existing legal and licensing framework</w:t>
      </w:r>
    </w:p>
    <w:p>
      <w:pPr>
        <w:pStyle w:val="ListBullet"/>
      </w:pPr>
      <w:r>
        <w:t xml:space="preserve">Confirm </w:t>
      </w:r>
      <w:r>
        <w:rPr>
          <w:rFonts w:ascii="Menlo" w:hAnsi="Menlo"/>
          <w:sz w:val="20"/>
        </w:rPr>
        <w:t>maintenance_fee</w:t>
      </w:r>
      <w:r>
        <w:t xml:space="preserve"> deduction is covered by existing merchant ToS and licensed permissions</w:t>
      </w:r>
    </w:p>
    <w:p>
      <w:pPr>
        <w:pStyle w:val="Heading2"/>
      </w:pPr>
      <w:r>
        <w:t>Banking Partnerships / Payments Pod</w:t>
      </w:r>
    </w:p>
    <w:p>
      <w:r>
        <w:rPr>
          <w:b/>
        </w:rPr>
        <w:t>Context</w:t>
      </w:r>
      <w:r>
        <w:t xml:space="preserve"> N8N drives capability metadata and provider ranking — runtime dependency for every creation request.</w:t>
      </w:r>
    </w:p>
    <w:p>
      <w:r>
        <w:rPr>
          <w:b/>
        </w:rPr>
        <w:t>Actions</w:t>
      </w:r>
    </w:p>
    <w:p>
      <w:pPr>
        <w:pStyle w:val="ListBullet"/>
      </w:pPr>
      <w:r>
        <w:t>Confirm N8N latency, caching, and fallback behaviour when unavailable</w:t>
      </w:r>
    </w:p>
    <w:p>
      <w:pPr>
        <w:pStyle w:val="ListBullet"/>
      </w:pPr>
      <w:r>
        <w:t>Verify soft-delete-then-re-enable on the same account across all providers — only one confirmed per PRD</w:t>
      </w:r>
    </w:p>
    <w:p>
      <w:pPr>
        <w:pStyle w:val="ListBullet"/>
      </w:pPr>
      <w:r>
        <w:t xml:space="preserve">Review existing commercial agreements for self-serve volumes and </w:t>
      </w:r>
      <w:r>
        <w:rPr>
          <w:rFonts w:ascii="Menlo" w:hAnsi="Menlo"/>
          <w:sz w:val="20"/>
        </w:rPr>
        <w:t>on_behalf_of</w:t>
      </w:r>
      <w:r>
        <w:t xml:space="preserve"> attribution</w:t>
      </w:r>
    </w:p>
    <w:p>
      <w:r>
        <w:rPr>
          <w:i/>
        </w:rPr>
        <w:t>Each team reads their section. Common Context applies to all. Actions / Blockers / Watch-out items are the pre-launch checklist — escalate before go-live, not after.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