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Pre-Launch Sync Notes</w:t>
      </w:r>
    </w:p>
    <w:p>
      <w:r>
        <w:rPr>
          <w:b/>
        </w:rPr>
        <w:t>Feature:</w:t>
      </w:r>
      <w:r>
        <w:t xml:space="preserve"> Entity Categorisation (Merchant Risk Categorisation + Service Provider Type Capture) </w:t>
      </w:r>
      <w:r>
        <w:rPr>
          <w:b/>
        </w:rPr>
        <w:t>Go-live:</w:t>
      </w:r>
      <w:r>
        <w:t xml:space="preserve"> TBC — gated by Compliance sign-off on the vertical-to-service-provider-type mapping and a backfill plan for existing OBO merchants </w:t>
      </w:r>
      <w:r>
        <w:rPr>
          <w:b/>
        </w:rPr>
        <w:t>Date generated:</w:t>
      </w:r>
      <w:r>
        <w:t xml:space="preserve"> 2026-06-01 </w:t>
      </w:r>
      <w:r>
        <w:rPr>
          <w:b/>
        </w:rPr>
        <w:t>Teams covered:</w:t>
      </w:r>
      <w:r>
        <w:t xml:space="preserve"> Compliance — Onboarding, Compliance — Transaction Monitoring, Risk, Payment Operations, Sales / Account Management, Legal / Licensing, Product / Engineering</w:t>
      </w:r>
    </w:p>
    <w:p>
      <w:r>
        <w:rPr>
          <w:i/>
          <w:color w:val="555555"/>
        </w:rPr>
        <w:t>⚠️ "Teams to Brief" not found in PRD — selected the 7 most-impacted teams. Add a "## Teams to Brief" section to the PRD to lock the list.</w:t>
      </w:r>
    </w:p>
    <w:p>
      <w:pPr>
        <w:pStyle w:val="Heading2"/>
      </w:pPr>
      <w:r>
        <w:t>Common Context</w:t>
      </w:r>
    </w:p>
    <w:p>
      <w:r>
        <w:rPr>
          <w:i/>
          <w:color w:val="555555"/>
        </w:rPr>
        <w:t>Read this first. All team sections below assume you've read this.</w:t>
      </w:r>
    </w:p>
    <w:p>
      <w:r>
        <w:rPr>
          <w:b/>
        </w:rPr>
        <w:t>Why we're doing this</w:t>
      </w:r>
      <w:r>
        <w:t xml:space="preserve"> Compliance categorisation is fragmented today — A/B/C signals live across Jira tickets, configs are applied manually per merchant, and TSP/PSP signal sits in unstructured C2C call notes. This launch builds a single ops-dashboard source of truth, auto-applies the right platform configs per category, sends category to Sardine for transaction-level hard stops, and captures TSP/PSP plus PSP licenses inside KYB. Launch scope is OBO payouts only.</w:t>
      </w:r>
    </w:p>
    <w:p>
      <w:r>
        <w:rPr>
          <w:b/>
        </w:rPr>
        <w:t>What's changing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F2F2F2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3408"/>
            <w:shd w:val="clear" w:color="auto" w:fill="F2F2F2"/>
          </w:tcPr>
          <w:p>
            <w:r>
              <w:rPr>
                <w:b/>
              </w:rPr>
            </w:r>
            <w:r>
              <w:rPr>
                <w:b/>
              </w:rPr>
              <w:t>What changes</w:t>
            </w:r>
          </w:p>
        </w:tc>
        <w:tc>
          <w:tcPr>
            <w:tcW w:type="dxa" w:w="3408"/>
            <w:shd w:val="clear" w:color="auto" w:fill="F2F2F2"/>
          </w:tcPr>
          <w:p>
            <w:r>
              <w:rPr>
                <w:b/>
              </w:rPr>
            </w:r>
            <w:r>
              <w:rPr>
                <w:b/>
              </w:rPr>
              <w:t>Who this affects</w:t>
            </w:r>
          </w:p>
        </w:tc>
      </w:tr>
      <w:tr>
        <w:tc>
          <w:tcPr>
            <w:tcW w:type="dxa" w:w="3408"/>
          </w:tcPr>
          <w:p>
            <w:r/>
            <w:r>
              <w:t>Categorisation</w:t>
            </w:r>
          </w:p>
        </w:tc>
        <w:tc>
          <w:tcPr>
            <w:tcW w:type="dxa" w:w="3408"/>
          </w:tcPr>
          <w:p>
            <w:r/>
            <w:r>
              <w:t>New A/B/C category dropdown in the KYB risk section on the ops dashboard; per-usecase, audit-logged (</w:t>
            </w:r>
            <w:r>
              <w:rPr>
                <w:rFonts w:ascii="Menlo" w:hAnsi="Menlo"/>
                <w:sz w:val="20"/>
              </w:rPr>
              <w:t>updated_by</w:t>
            </w:r>
            <w:r>
              <w:t xml:space="preserve">, </w:t>
            </w:r>
            <w:r>
              <w:rPr>
                <w:rFonts w:ascii="Menlo" w:hAnsi="Menlo"/>
                <w:sz w:val="20"/>
              </w:rPr>
              <w:t>previous_value</w:t>
            </w:r>
            <w:r>
              <w:t xml:space="preserve">, </w:t>
            </w:r>
            <w:r>
              <w:rPr>
                <w:rFonts w:ascii="Menlo" w:hAnsi="Menlo"/>
                <w:sz w:val="20"/>
              </w:rPr>
              <w:t>new_value</w:t>
            </w:r>
            <w:r>
              <w:t>, comment), RBAC-restricted</w:t>
            </w:r>
          </w:p>
        </w:tc>
        <w:tc>
          <w:tcPr>
            <w:tcW w:type="dxa" w:w="3408"/>
          </w:tcPr>
          <w:p>
            <w:r/>
            <w:r>
              <w:t>Compliance Ops + OBO payout merchants</w:t>
            </w:r>
          </w:p>
        </w:tc>
      </w:tr>
      <w:tr>
        <w:tc>
          <w:tcPr>
            <w:tcW w:type="dxa" w:w="3408"/>
          </w:tcPr>
          <w:p>
            <w:r/>
            <w:r>
              <w:t>Auto config application</w:t>
            </w:r>
          </w:p>
        </w:tc>
        <w:tc>
          <w:tcPr>
            <w:tcW w:type="dxa" w:w="3408"/>
          </w:tcPr>
          <w:p>
            <w:r/>
            <w:r>
              <w:t xml:space="preserve">Setting or changing a category auto-applies </w:t>
            </w:r>
            <w:r>
              <w:rPr>
                <w:rFonts w:ascii="Menlo" w:hAnsi="Menlo"/>
                <w:sz w:val="20"/>
              </w:rPr>
              <w:t>Simplified entity creation</w:t>
            </w:r>
            <w:r>
              <w:t xml:space="preserve"> and </w:t>
            </w:r>
            <w:r>
              <w:rPr>
                <w:rFonts w:ascii="Menlo" w:hAnsi="Menlo"/>
                <w:sz w:val="20"/>
              </w:rPr>
              <w:t>Mandatory entity approval required for OBO payout</w:t>
            </w:r>
            <w:r>
              <w:t>; ops can override afterwards, no cron reconciles configs back</w:t>
            </w:r>
          </w:p>
        </w:tc>
        <w:tc>
          <w:tcPr>
            <w:tcW w:type="dxa" w:w="3408"/>
          </w:tcPr>
          <w:p>
            <w:r/>
            <w:r>
              <w:t>Compliance Ops + OBO merchants</w:t>
            </w:r>
          </w:p>
        </w:tc>
      </w:tr>
      <w:tr>
        <w:tc>
          <w:tcPr>
            <w:tcW w:type="dxa" w:w="3408"/>
          </w:tcPr>
          <w:p>
            <w:r/>
            <w:r>
              <w:t>Sardine rule</w:t>
            </w:r>
          </w:p>
        </w:tc>
        <w:tc>
          <w:tcPr>
            <w:tcW w:type="dxa" w:w="3408"/>
          </w:tcPr>
          <w:p>
            <w:r/>
            <w:r>
              <w:t>One new global rule: hard stops OBO transactions where category is B, C, or Not Set; Category A flows normally. Merchant's category sent to Sardine on every OBO transaction</w:t>
            </w:r>
          </w:p>
        </w:tc>
        <w:tc>
          <w:tcPr>
            <w:tcW w:type="dxa" w:w="3408"/>
          </w:tcPr>
          <w:p>
            <w:r/>
            <w:r>
              <w:t>Compliance — TM + all OBO merchants</w:t>
            </w:r>
          </w:p>
        </w:tc>
      </w:tr>
      <w:tr>
        <w:tc>
          <w:tcPr>
            <w:tcW w:type="dxa" w:w="3408"/>
          </w:tcPr>
          <w:p>
            <w:r/>
            <w:r>
              <w:t>Service provider type</w:t>
            </w:r>
          </w:p>
        </w:tc>
        <w:tc>
          <w:tcPr>
            <w:tcW w:type="dxa" w:w="3408"/>
          </w:tcPr>
          <w:p>
            <w:r/>
            <w:r>
              <w:t xml:space="preserve">KYB form captures mandatory </w:t>
            </w:r>
            <w:r>
              <w:rPr>
                <w:rFonts w:ascii="Menlo" w:hAnsi="Menlo"/>
                <w:sz w:val="20"/>
              </w:rPr>
              <w:t>Service Provider Type</w:t>
            </w:r>
            <w:r>
              <w:t xml:space="preserve"> (TSP / PSP); default seeded from industry vertical mapping, compliance can override</w:t>
            </w:r>
          </w:p>
        </w:tc>
        <w:tc>
          <w:tcPr>
            <w:tcW w:type="dxa" w:w="3408"/>
          </w:tcPr>
          <w:p>
            <w:r/>
            <w:r>
              <w:t>All merchants going through KYB</w:t>
            </w:r>
          </w:p>
        </w:tc>
      </w:tr>
      <w:tr>
        <w:tc>
          <w:tcPr>
            <w:tcW w:type="dxa" w:w="3408"/>
          </w:tcPr>
          <w:p>
            <w:r/>
            <w:r>
              <w:t>PSP license upload</w:t>
            </w:r>
          </w:p>
        </w:tc>
        <w:tc>
          <w:tcPr>
            <w:tcW w:type="dxa" w:w="3408"/>
          </w:tcPr>
          <w:p>
            <w:r/>
            <w:r>
              <w:t>Mandatory at KYB submission if PSP selected; PDF/JPG/PNG, 10MB per file, max 10 files; ops-only visibility post-submission (security)</w:t>
            </w:r>
          </w:p>
        </w:tc>
        <w:tc>
          <w:tcPr>
            <w:tcW w:type="dxa" w:w="3408"/>
          </w:tcPr>
          <w:p>
            <w:r/>
            <w:r>
              <w:t>PSP merchants + Ops</w:t>
            </w:r>
          </w:p>
        </w:tc>
      </w:tr>
      <w:tr>
        <w:tc>
          <w:tcPr>
            <w:tcW w:type="dxa" w:w="3408"/>
          </w:tcPr>
          <w:p>
            <w:r/>
            <w:r>
              <w:t>License expiry tracking</w:t>
            </w:r>
          </w:p>
        </w:tc>
        <w:tc>
          <w:tcPr>
            <w:tcW w:type="dxa" w:w="3408"/>
          </w:tcPr>
          <w:p>
            <w:r/>
            <w:r>
              <w:t>1-month warning tag (amber) and expired tag (red) on ops dashboard, showing earliest-expiring license; mirrored on merchant dashboard "Actions Required" tab</w:t>
            </w:r>
          </w:p>
        </w:tc>
        <w:tc>
          <w:tcPr>
            <w:tcW w:type="dxa" w:w="3408"/>
          </w:tcPr>
          <w:p>
            <w:r/>
            <w:r>
              <w:t>Ops + merchants</w:t>
            </w:r>
          </w:p>
        </w:tc>
      </w:tr>
      <w:tr>
        <w:tc>
          <w:tcPr>
            <w:tcW w:type="dxa" w:w="3408"/>
          </w:tcPr>
          <w:p>
            <w:r/>
            <w:r>
              <w:t>Listing filters</w:t>
            </w:r>
          </w:p>
        </w:tc>
        <w:tc>
          <w:tcPr>
            <w:tcW w:type="dxa" w:w="3408"/>
          </w:tcPr>
          <w:p>
            <w:r/>
            <w:r>
              <w:t xml:space="preserve">New </w:t>
            </w:r>
            <w:r>
              <w:rPr>
                <w:rFonts w:ascii="Menlo" w:hAnsi="Menlo"/>
                <w:sz w:val="20"/>
              </w:rPr>
              <w:t>KYB Refresh Due</w:t>
            </w:r>
            <w:r>
              <w:t xml:space="preserve"> and </w:t>
            </w:r>
            <w:r>
              <w:rPr>
                <w:rFonts w:ascii="Menlo" w:hAnsi="Menlo"/>
                <w:sz w:val="20"/>
              </w:rPr>
              <w:t>License Renewal Due</w:t>
            </w:r>
            <w:r>
              <w:t xml:space="preserve"> filters on the ops merchant-listing screen</w:t>
            </w:r>
          </w:p>
        </w:tc>
        <w:tc>
          <w:tcPr>
            <w:tcW w:type="dxa" w:w="3408"/>
          </w:tcPr>
          <w:p>
            <w:r/>
            <w:r>
              <w:t>Ops</w:t>
            </w:r>
          </w:p>
        </w:tc>
      </w:tr>
      <w:tr>
        <w:tc>
          <w:tcPr>
            <w:tcW w:type="dxa" w:w="3408"/>
          </w:tcPr>
          <w:p>
            <w:r/>
            <w:r>
              <w:t>Reporting basis</w:t>
            </w:r>
          </w:p>
        </w:tc>
        <w:tc>
          <w:tcPr>
            <w:tcW w:type="dxa" w:w="3408"/>
          </w:tcPr>
          <w:p>
            <w:r/>
            <w:r>
              <w:t>TSP merchants' entities count as Tazapay's customers for regulatory reporting; PSP merchants' entities don't — reporting sits with the PSP</w:t>
            </w:r>
          </w:p>
        </w:tc>
        <w:tc>
          <w:tcPr>
            <w:tcW w:type="dxa" w:w="3408"/>
          </w:tcPr>
          <w:p>
            <w:r/>
            <w:r>
              <w:t>Legal / Licensing / Finance</w:t>
            </w:r>
          </w:p>
        </w:tc>
      </w:tr>
    </w:tbl>
    <w:p/>
    <w:p>
      <w:r>
        <w:rPr>
          <w:b/>
        </w:rPr>
        <w:t>At a glance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2F2F2"/>
          </w:tcPr>
          <w:p>
            <w:r>
              <w:rPr>
                <w:b/>
              </w:rPr>
            </w:r>
          </w:p>
        </w:tc>
        <w:tc>
          <w:tcPr>
            <w:tcW w:type="dxa" w:w="5112"/>
            <w:shd w:val="clear" w:color="auto" w:fill="F2F2F2"/>
          </w:tcPr>
          <w:p>
            <w:r>
              <w:rPr>
                <w:b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Geographies</w:t>
            </w:r>
          </w:p>
        </w:tc>
        <w:tc>
          <w:tcPr>
            <w:tcW w:type="dxa" w:w="5112"/>
          </w:tcPr>
          <w:p>
            <w:r/>
            <w:r>
              <w:t>No restrictions in PRD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Entity types</w:t>
            </w:r>
          </w:p>
        </w:tc>
        <w:tc>
          <w:tcPr>
            <w:tcW w:type="dxa" w:w="5112"/>
          </w:tcPr>
          <w:p>
            <w:r/>
            <w:r>
              <w:t>OBO merchants for categorisation (launch scope); all merchants for TSP/PSP capture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Customer segments</w:t>
            </w:r>
          </w:p>
        </w:tc>
        <w:tc>
          <w:tcPr>
            <w:tcW w:type="dxa" w:w="5112"/>
          </w:tcPr>
          <w:p>
            <w:r/>
            <w:r>
              <w:t>OBO payout merchants (categorisation); all KYB merchants (service provider type, license upload)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Rollout strategy</w:t>
            </w:r>
          </w:p>
        </w:tc>
        <w:tc>
          <w:tcPr>
            <w:tcW w:type="dxa" w:w="5112"/>
          </w:tcPr>
          <w:p>
            <w:r/>
            <w:r>
              <w:t>TBC — gated by vertical-to-SPT mapping and backfill plan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Sardine involved</w:t>
            </w:r>
          </w:p>
        </w:tc>
        <w:tc>
          <w:tcPr>
            <w:tcW w:type="dxa" w:w="5112"/>
          </w:tcPr>
          <w:p>
            <w:r/>
            <w:r>
              <w:t>Yes — one new global rule + new payload field (merchant category per OBO transaction)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</w:rPr>
              <w:t>Forter involved</w:t>
            </w:r>
          </w:p>
        </w:tc>
        <w:tc>
          <w:tcPr>
            <w:tcW w:type="dxa" w:w="5112"/>
          </w:tcPr>
          <w:p>
            <w:r/>
            <w:r>
              <w:t>No</w:t>
            </w:r>
          </w:p>
        </w:tc>
      </w:tr>
    </w:tbl>
    <w:p/>
    <w:p>
      <w:r>
        <w:rPr>
          <w:b/>
        </w:rPr>
        <w:t>Open questions (from PRD)</w:t>
      </w:r>
    </w:p>
    <w:p>
      <w:pPr>
        <w:pStyle w:val="ListBullet"/>
      </w:pPr>
      <w:r>
        <w:t>Full industry-vertical → service-provider-type mapping needs to be finalised with Compliance before launch</w:t>
      </w:r>
    </w:p>
    <w:p>
      <w:pPr>
        <w:pStyle w:val="ListBullet"/>
      </w:pPr>
      <w:r>
        <w:t>File size limit (10MB per file, max 10 files) — Engineering to confirm storage and access controls</w:t>
      </w:r>
    </w:p>
    <w:p>
      <w:pPr>
        <w:pStyle w:val="ListBullet"/>
      </w:pPr>
      <w:r>
        <w:t>Backfill plan for existing un-categorised OBO merchants — without it, every OBO transaction hard-stops on day one</w:t>
      </w:r>
    </w:p>
    <w:p>
      <w:pPr>
        <w:pStyle w:val="ListBullet"/>
      </w:pPr>
      <w:r>
        <w:t>Proactive emailer to merchants for license renewal reminders acknowledged but out of scope for this launch</w:t>
      </w:r>
    </w:p>
    <w:p>
      <w:pPr>
        <w:pStyle w:val="Heading2"/>
      </w:pPr>
      <w:r>
        <w:t>Compliance — Onboarding</w:t>
      </w:r>
    </w:p>
    <w:p>
      <w:r>
        <w:rPr>
          <w:b/>
        </w:rPr>
        <w:t>Actions</w:t>
      </w:r>
    </w:p>
    <w:p>
      <w:pPr>
        <w:pStyle w:val="ListBullet"/>
      </w:pPr>
      <w:r>
        <w:t>Finalise the vertical-to-service-provider-type mapping before launch — auto-defaults depend on it</w:t>
      </w:r>
    </w:p>
    <w:p>
      <w:pPr>
        <w:pStyle w:val="ListBullet"/>
      </w:pPr>
      <w:r>
        <w:t>Sign off on the RBAC list for category edits and the extension path post-launch</w:t>
      </w:r>
    </w:p>
    <w:p>
      <w:pPr>
        <w:pStyle w:val="ListBullet"/>
      </w:pPr>
      <w:r>
        <w:t xml:space="preserve">Brief team that setting or changing a category auto-applies </w:t>
      </w:r>
      <w:r>
        <w:rPr>
          <w:rFonts w:ascii="Menlo" w:hAnsi="Menlo"/>
          <w:sz w:val="20"/>
        </w:rPr>
        <w:t>Simplified entity creation</w:t>
      </w:r>
      <w:r>
        <w:t xml:space="preserve"> and </w:t>
      </w:r>
      <w:r>
        <w:rPr>
          <w:rFonts w:ascii="Menlo" w:hAnsi="Menlo"/>
          <w:sz w:val="20"/>
        </w:rPr>
        <w:t>Mandatory entity approval required for OBO payout</w:t>
      </w:r>
      <w:r>
        <w:t xml:space="preserve"> — manual override still available</w:t>
      </w:r>
    </w:p>
    <w:p>
      <w:r>
        <w:rPr>
          <w:b/>
        </w:rPr>
        <w:t>Blockers</w:t>
      </w:r>
    </w:p>
    <w:p>
      <w:pPr>
        <w:pStyle w:val="ListBullet"/>
      </w:pPr>
      <w:r>
        <w:t>Backfill plan for existing un-categorised OBO merchants — without it, every OBO transaction hard-stops on day one</w:t>
      </w:r>
    </w:p>
    <w:p>
      <w:pPr>
        <w:pStyle w:val="Heading2"/>
      </w:pPr>
      <w:r>
        <w:t>Compliance — Transaction Monitoring</w:t>
      </w:r>
    </w:p>
    <w:p>
      <w:r>
        <w:rPr>
          <w:b/>
        </w:rPr>
        <w:t>Actions</w:t>
      </w:r>
    </w:p>
    <w:p>
      <w:pPr>
        <w:pStyle w:val="ListBullet"/>
      </w:pPr>
      <w:r>
        <w:t xml:space="preserve">Validate in staging that </w:t>
      </w:r>
      <w:r>
        <w:rPr>
          <w:rFonts w:ascii="Menlo" w:hAnsi="Menlo"/>
          <w:sz w:val="20"/>
        </w:rPr>
        <w:t>usecase</w:t>
      </w:r>
      <w:r>
        <w:t xml:space="preserve"> and </w:t>
      </w:r>
      <w:r>
        <w:rPr>
          <w:rFonts w:ascii="Menlo" w:hAnsi="Menlo"/>
          <w:sz w:val="20"/>
        </w:rPr>
        <w:t>category</w:t>
      </w:r>
      <w:r>
        <w:t xml:space="preserve"> payload reach Sardine correctly on every OBO transaction</w:t>
      </w:r>
    </w:p>
    <w:p>
      <w:pPr>
        <w:pStyle w:val="ListBullet"/>
      </w:pPr>
      <w:r>
        <w:t>Brief the alert team on the upgrade path — review hard-stopped transactions, upgrade to A, next transaction flows through</w:t>
      </w:r>
    </w:p>
    <w:p>
      <w:r>
        <w:rPr>
          <w:b/>
        </w:rPr>
        <w:t>Watch-out</w:t>
      </w:r>
    </w:p>
    <w:p>
      <w:pPr>
        <w:pStyle w:val="ListBullet"/>
      </w:pPr>
      <w:r>
        <w:t>Hard stops will spike on launch day — "Not Set" behaves like Category C, so every un-categorised OBO merchant blocks until categorised; concentrate alert-review capacity in week one</w:t>
      </w:r>
    </w:p>
    <w:p>
      <w:pPr>
        <w:pStyle w:val="Heading2"/>
      </w:pPr>
      <w:r>
        <w:t>Risk</w:t>
      </w:r>
    </w:p>
    <w:p>
      <w:r>
        <w:rPr>
          <w:b/>
        </w:rPr>
        <w:t>Actions</w:t>
      </w:r>
    </w:p>
    <w:p>
      <w:pPr>
        <w:pStyle w:val="ListBullet"/>
      </w:pPr>
      <w:r>
        <w:t>Sign off on the criteria — what makes a merchant A vs B vs C, and the threshold for B/C → A upgrade</w:t>
      </w:r>
    </w:p>
    <w:p>
      <w:pPr>
        <w:pStyle w:val="ListBullet"/>
      </w:pPr>
      <w:r>
        <w:t>Confirm audit trail (</w:t>
      </w:r>
      <w:r>
        <w:rPr>
          <w:rFonts w:ascii="Menlo" w:hAnsi="Menlo"/>
          <w:sz w:val="20"/>
        </w:rPr>
        <w:t>updated_by</w:t>
      </w:r>
      <w:r>
        <w:t xml:space="preserve">, </w:t>
      </w:r>
      <w:r>
        <w:rPr>
          <w:rFonts w:ascii="Menlo" w:hAnsi="Menlo"/>
          <w:sz w:val="20"/>
        </w:rPr>
        <w:t>previous_value</w:t>
      </w:r>
      <w:r>
        <w:t xml:space="preserve">, </w:t>
      </w:r>
      <w:r>
        <w:rPr>
          <w:rFonts w:ascii="Menlo" w:hAnsi="Menlo"/>
          <w:sz w:val="20"/>
        </w:rPr>
        <w:t>new_value</w:t>
      </w:r>
      <w:r>
        <w:t>, comment) meets internal risk-audit standards</w:t>
      </w:r>
    </w:p>
    <w:p>
      <w:r>
        <w:rPr>
          <w:b/>
        </w:rPr>
        <w:t>Scenarios</w:t>
      </w:r>
    </w:p>
    <w:p>
      <w:pPr>
        <w:pStyle w:val="ListBullet"/>
      </w:pPr>
      <w:r>
        <w:t>Merchant wrongly categorised A: hard stops bypassed, exposure builds before correction is noticed — mitigated by RBAC restricting who can set A plus the audit log</w:t>
      </w:r>
    </w:p>
    <w:p>
      <w:pPr>
        <w:pStyle w:val="ListBullet"/>
      </w:pPr>
      <w:r>
        <w:t>B/C → A upgrade without sufficient diligence: legitimate volume passes but bad-actor volume also passes — mitigated by a documented minimum-review threshold before upgrade</w:t>
      </w:r>
    </w:p>
    <w:p>
      <w:pPr>
        <w:pStyle w:val="Heading2"/>
      </w:pPr>
      <w:r>
        <w:t>Payment Operations</w:t>
      </w:r>
    </w:p>
    <w:p>
      <w:r>
        <w:rPr>
          <w:b/>
        </w:rPr>
        <w:t>Ops actions</w:t>
      </w:r>
    </w:p>
    <w:p>
      <w:pPr>
        <w:pStyle w:val="ListBullet"/>
      </w:pPr>
      <w:r>
        <w:t>Define SLA for the new hard-stop triage workflow — compliance review then category upgrade</w:t>
      </w:r>
    </w:p>
    <w:p>
      <w:pPr>
        <w:pStyle w:val="ListBullet"/>
      </w:pPr>
      <w:r>
        <w:t xml:space="preserve">Validate the </w:t>
      </w:r>
      <w:r>
        <w:rPr>
          <w:rFonts w:ascii="Menlo" w:hAnsi="Menlo"/>
          <w:sz w:val="20"/>
        </w:rPr>
        <w:t>License Renewal Due</w:t>
      </w:r>
      <w:r>
        <w:t xml:space="preserve"> filter against test data with multiple license expiries</w:t>
      </w:r>
    </w:p>
    <w:p>
      <w:pPr>
        <w:pStyle w:val="ListBullet"/>
      </w:pPr>
      <w:r>
        <w:t>Brief support that uploaded licenses are ops-only — merchants cannot see them post-submission</w:t>
      </w:r>
    </w:p>
    <w:p>
      <w:r>
        <w:rPr>
          <w:b/>
        </w:rPr>
        <w:t>Watch-out</w:t>
      </w:r>
    </w:p>
    <w:p>
      <w:pPr>
        <w:pStyle w:val="ListBullet"/>
      </w:pPr>
      <w:r>
        <w:t>Day-one hard-stop volume on un-categorised OBO merchants may swamp the queue if backfill isn't done</w:t>
      </w:r>
    </w:p>
    <w:p>
      <w:pPr>
        <w:pStyle w:val="Heading2"/>
      </w:pPr>
      <w:r>
        <w:t>Sales / Account Management</w:t>
      </w:r>
    </w:p>
    <w:p>
      <w:r>
        <w:rPr>
          <w:b/>
        </w:rPr>
        <w:t>Actions</w:t>
      </w:r>
    </w:p>
    <w:p>
      <w:pPr>
        <w:pStyle w:val="ListBullet"/>
      </w:pPr>
      <w:r>
        <w:t>Outreach to existing OBO merchants before launch — backfill categories or set expectations on day-one hard stops</w:t>
      </w:r>
    </w:p>
    <w:p>
      <w:pPr>
        <w:pStyle w:val="ListBullet"/>
      </w:pPr>
      <w:r>
        <w:t>Pre-empt PSP license upload requirement with prospects so KYB doesn't stall on a missing document</w:t>
      </w:r>
    </w:p>
    <w:p>
      <w:r>
        <w:rPr>
          <w:b/>
        </w:rPr>
        <w:t>Watch-out</w:t>
      </w:r>
    </w:p>
    <w:p>
      <w:pPr>
        <w:pStyle w:val="ListBullet"/>
      </w:pPr>
      <w:r>
        <w:t>Service provider type may be re-classified for some existing accounts (TSP ↔ PSP) — coordinate communication so the change doesn't surprise the merchant</w:t>
      </w:r>
    </w:p>
    <w:p>
      <w:pPr>
        <w:pStyle w:val="Heading2"/>
      </w:pPr>
      <w:r>
        <w:t>Legal / Licensing</w:t>
      </w:r>
    </w:p>
    <w:p>
      <w:r>
        <w:rPr>
          <w:b/>
        </w:rPr>
        <w:t>Actions</w:t>
      </w:r>
    </w:p>
    <w:p>
      <w:pPr>
        <w:pStyle w:val="ListBullet"/>
      </w:pPr>
      <w:r>
        <w:t>PSP licenses are now stored in Tazapay infrastructure — confirm DPA, retention, and access-control terms</w:t>
      </w:r>
    </w:p>
    <w:p>
      <w:pPr>
        <w:pStyle w:val="ListBullet"/>
      </w:pPr>
      <w:r>
        <w:t>Confirm merchant ToS permits hard-stopping transactions based on internal categorisation and defines a dispute path</w:t>
      </w:r>
    </w:p>
    <w:p>
      <w:pPr>
        <w:pStyle w:val="ListBullet"/>
      </w:pPr>
      <w:r>
        <w:t>TSP vs PSP classification now drives Tazapay's regulatory reporting position — confirm each active regulator's expectations match</w:t>
      </w:r>
    </w:p>
    <w:p>
      <w:pPr>
        <w:pStyle w:val="ListBullet"/>
      </w:pPr>
      <w:r>
        <w:t>License upload is capture-only with no verification step — confirm whether reliance on these documents needs an attestation</w:t>
      </w:r>
    </w:p>
    <w:p>
      <w:r>
        <w:rPr>
          <w:b/>
        </w:rPr>
        <w:t>Watch-out</w:t>
      </w:r>
    </w:p>
    <w:p>
      <w:pPr>
        <w:pStyle w:val="ListBullet"/>
      </w:pPr>
      <w:r>
        <w:t>Automated hard stops based on internal categorisation may constitute a material change requiring regulator notification in some jurisdictions</w:t>
      </w:r>
    </w:p>
    <w:p>
      <w:pPr>
        <w:pStyle w:val="Heading2"/>
      </w:pPr>
      <w:r>
        <w:t>Product / Engineering</w:t>
      </w:r>
    </w:p>
    <w:p>
      <w:r>
        <w:rPr>
          <w:b/>
        </w:rPr>
        <w:t>Actions</w:t>
      </w:r>
    </w:p>
    <w:p>
      <w:pPr>
        <w:pStyle w:val="ListBullet"/>
      </w:pPr>
      <w:r>
        <w:t>Confirm deployment ordering — the new Sardine rule and the new payload field must roll out together to avoid silently passing transactions or wrongly blocking them</w:t>
      </w:r>
    </w:p>
    <w:p>
      <w:pPr>
        <w:pStyle w:val="ListBullet"/>
      </w:pPr>
      <w:r>
        <w:t>File storage for license uploads must meet the merchant-cannot-read requirement — confirm storage backend and access control</w:t>
      </w:r>
    </w:p>
    <w:p>
      <w:pPr>
        <w:pStyle w:val="ListBullet"/>
      </w:pPr>
      <w:r>
        <w:t>Validate ops dashboard surfaces: KYB risk section, license upload + expiry tag rendering, new listing filters</w:t>
      </w:r>
    </w:p>
    <w:p>
      <w:r>
        <w:rPr>
          <w:b/>
        </w:rPr>
        <w:t>Watch-out</w:t>
      </w:r>
    </w:p>
    <w:p>
      <w:pPr>
        <w:pStyle w:val="ListBullet"/>
      </w:pPr>
      <w:r>
        <w:t>Rollback path for the new Sardine rule must be ready in case launch-day hard-stops misfire at scale</w:t>
      </w:r>
    </w:p>
    <w:p>
      <w:r>
        <w:rPr>
          <w:i/>
        </w:rPr>
        <w:t>Each team reads their section. Common Context applies to all. Actions / Blockers / Watch-out items are the pre-launch checklist — escalate before go-live, not after.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