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Electoral Bonds Analysis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Report and key finding: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Purchase vs. Redemption Timeline: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No instance of a redemption occurring more than 15 days after the purchase date.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Data Merging and Validation: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Columns "Prefix" and "Bond Number" were merged to create a unique identifier for both datasets.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After merging: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1,680 entries in the Purchase Data did not match with Redemption Data.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130 entries in the Redemption Data did not match with Purchase Data.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Data types were standardized, and naming inconsistencies were cleaned.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Top Purchasers (2019–2024):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Top 5 Entities: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Future Gaming and Hotel Services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Megha Engineering and Infrastructure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Qwik Supply Chain Private Limited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Haldi Energy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Vedanta Limited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Denomination Insights: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Bonds of ₹1 crore denomination dominate across all donations.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Time-Based Trends: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Peak Purchase Months: January, April, and October.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Peak Years for Purchases: 2022 and 2023.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Redemption Patterns: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Majority of bonds were redeemed within 5 days of purchase.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Political Party Encashments: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Top Political Parties by Encashment: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BJP (Bharatiya Janata Party)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Trinamool Congress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Indian National Congress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#Data Source: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Source: Data provided by SBI Bank to the Election Commission of India. (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Datasets: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a2b3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Purchase Data: Includes details of who purchased bonds and when.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  <w:rPr>
          <w:rFonts w:ascii="Roboto" w:cs="Roboto" w:eastAsia="Roboto" w:hAnsi="Roboto"/>
          <w:color w:val="2a2b3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Redemption Data: Includes details of who redeemed bonds and when.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Roboto" w:cs="Roboto" w:eastAsia="Roboto" w:hAnsi="Roboto"/>
          <w:b w:val="1"/>
          <w:color w:val="2a2b3f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Data Exploration: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hanging="360"/>
        <w:rPr>
          <w:rFonts w:ascii="Roboto" w:cs="Roboto" w:eastAsia="Roboto" w:hAnsi="Roboto"/>
          <w:color w:val="2a2b3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New columns were added for day names, months, and years for analysis.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rFonts w:ascii="Roboto" w:cs="Roboto" w:eastAsia="Roboto" w:hAnsi="Roboto"/>
          <w:b w:val="1"/>
          <w:color w:val="2a2b3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a2b3f"/>
          <w:sz w:val="21"/>
          <w:szCs w:val="21"/>
          <w:rtl w:val="0"/>
        </w:rPr>
        <w:t xml:space="preserve">Crosstab analysis was used to evaluate purchase trends vs. political party denomination sum amounts.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a2b3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a2b3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a2b3f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Roboto" w:cs="Roboto" w:eastAsia="Roboto" w:hAnsi="Roboto"/>
        <w:color w:val="2a2b3f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ci.gov.in/disclosure-of-electoral-bon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