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700"/>
        <w:jc w:val="center"/>
      </w:pPr>
      <w:r>
        <w:rPr>
          <w:b/>
          <w:bCs/>
          <w:color w:val="1F4E5F"/>
          <w:sz w:val="44"/>
          <w:szCs w:val="44"/>
        </w:rPr>
        <w:t xml:space="preserve">Saliva-Based Wearable Biosensor for Continuous Cardiac Biomarker Monitoring</w:t>
      </w:r>
    </w:p>
    <w:p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 xml:space="preserve">Research Landscape, Commercialization Pain Points, and Proposed Mouthguard Biosensor Solution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1. Purpose of This Document</w:t>
      </w:r>
    </w:p>
    <w:p>
      <w:pPr>
        <w:spacing w:after="140"/>
      </w:pPr>
      <w:r>
        <w:rPr>
          <w:sz w:val="22"/>
          <w:szCs w:val="22"/>
        </w:rPr>
        <w:t xml:space="preserve">This document explains why continuous monitoring is especially critical for heart failure, summarizes recent research and near-commercial efforts detecting cardiac biomarkers (troponin, BNP/NT-proBNP) without a blood draw, identifies the specific reasons a saliva-based cardiac biosensor has not yet been commercialized, and lays out how our proposed mouthguard-based saliva biosensor is designed to close that gap.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2. Why Continuous Monitoring Matters for Heart Failure</w:t>
      </w:r>
    </w:p>
    <w:p>
      <w:pPr>
        <w:pStyle w:val="Heading2"/>
        <w:spacing w:after="100" w:before="240"/>
      </w:pPr>
      <w:r>
        <w:rPr>
          <w:b/>
          <w:bCs/>
          <w:color w:val="1F4E5F"/>
          <w:sz w:val="24"/>
          <w:szCs w:val="24"/>
        </w:rPr>
        <w:t xml:space="preserve">2.1 The post-discharge danger window</w:t>
      </w:r>
    </w:p>
    <w:p>
      <w:pPr>
        <w:spacing w:after="140"/>
      </w:pPr>
      <w:r>
        <w:rPr>
          <w:sz w:val="22"/>
          <w:szCs w:val="22"/>
        </w:rPr>
        <w:t xml:space="preserve">Heart failure hospitalizations remain a massive and recurring burden: in the United States alone, more than 1 million people are hospitalized for a primary diagnosis of heart failure annually. The period immediately after discharge is especially dangerous — clinicians describe a distinct "vulnerability phase" during which patients are at their highest risk of decompensating again, and studies have shown that after a first heart-failure admission, mortality can reach up to 50% within one year. Yet this is exactly the period when patients have the least clinical oversight, seen only at scheduled follow-up visits rather than continuously.</w:t>
      </w:r>
    </w:p>
    <w:p>
      <w:pPr>
        <w:pStyle w:val="Heading2"/>
        <w:spacing w:after="100" w:before="240"/>
      </w:pPr>
      <w:r>
        <w:rPr>
          <w:b/>
          <w:bCs/>
          <w:color w:val="1F4E5F"/>
          <w:sz w:val="24"/>
          <w:szCs w:val="24"/>
        </w:rPr>
        <w:t xml:space="preserve">2.2 Proof that continuous monitoring changes outcomes</w:t>
      </w:r>
    </w:p>
    <w:p>
      <w:pPr>
        <w:spacing w:after="140"/>
      </w:pPr>
      <w:r>
        <w:rPr>
          <w:sz w:val="22"/>
          <w:szCs w:val="22"/>
        </w:rPr>
        <w:t xml:space="preserve">This is not a theoretical benefit — it has already been demonstrated with an existing (invasive) continuous monitoring device, CardioMEMS, an implantable pulmonary-artery-pressure sensor. In the pivotal CHAMPION trial, patients managed with continuous pressure monitoring saw a 58% reduction in all-cause hospital readmissions and a 78% reduction in heart-failure-specific readmissions, and a separate analysis found heart failure hospitalizations dropped from 1.24 per patient in the year before implantation to 0.52 per patient in the year after. The mechanism is straightforward: continuous monitoring lets clinicians detect fluid build-up and rising cardiac pressure days before visible symptoms such as breathlessness or swelling appear, allowing medication adjustments that prevent the crisis entirely rather than reacting to it after the fact.</w:t>
      </w:r>
    </w:p>
    <w:p>
      <w:pPr>
        <w:spacing w:after="140"/>
      </w:pPr>
      <w:r>
        <w:rPr>
          <w:sz w:val="22"/>
          <w:szCs w:val="22"/>
        </w:rPr>
        <w:t xml:space="preserve">CardioMEMS proves the underlying principle our proposal depends on: continuous, trend-based physiological data — not periodic snapshots — is what allows early intervention. Our mouthguard biosensor applies this same principle to a biochemical signal (cardiac biomarker trend) instead of a mechanical one (pressure), while removing the need for a surgical implant.</w:t>
      </w:r>
    </w:p>
    <w:p>
      <w:pPr>
        <w:pStyle w:val="Heading2"/>
        <w:spacing w:after="100" w:before="240"/>
      </w:pPr>
      <w:r>
        <w:rPr>
          <w:b/>
          <w:bCs/>
          <w:color w:val="1F4E5F"/>
          <w:sz w:val="24"/>
          <w:szCs w:val="24"/>
        </w:rPr>
        <w:t xml:space="preserve">2.3 Why a biomarker trend specifically, not just a single reading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Rate of change matters more than a single value: a rising troponin or NT-proBNP trend signals active, worsening cardiac stress, while a stable or falling trend at the same absolute level can reflect a controlled, non-urgent state — a distinction a single blood draw cannot make.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Decompensation is frequently silent in its early stages: biomarker levels can begin rising before a patient consciously notices symptoms, so passive, continuous sensing does not depend on the patient recognizing something is wrong.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Symptom-triggered testing is inherently reactive: today, a biomarker test only happens if a patient decides something feels wrong enough to seek care, by which point deterioration may already be advanced.</w:t>
      </w:r>
    </w:p>
    <w:p>
      <w:pPr>
        <w:pStyle w:val="Heading2"/>
        <w:spacing w:after="100" w:before="240"/>
      </w:pPr>
      <w:r>
        <w:rPr>
          <w:b/>
          <w:bCs/>
          <w:color w:val="1F4E5F"/>
          <w:sz w:val="24"/>
          <w:szCs w:val="24"/>
        </w:rPr>
        <w:t xml:space="preserve">2.4 Two distinct patient populations this addresses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Early / at-risk diagnosis: for people with risk factors for heart failure but no formal diagnosis yet, continuous biomarker trend tracking could flag an abnormal upward trend prompting earlier clinical evaluation, well before a first hospitalization ever occurs.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Known heart-failure patients (post-discharge surveillance): for patients who have already been hospitalized for heart failure, continuous at-home monitoring fills the exact "vulnerability phase" gap described above — providing an ongoing early-warning signal between clinic visits so a second decompensation event can be caught and treated before it requires readmission.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3. Recent Work Detecting Cardiac Biomarkers from Non-Blood Fluids</w:t>
      </w:r>
    </w:p>
    <w:p>
      <w:pPr>
        <w:spacing w:after="140"/>
      </w:pPr>
      <w:r>
        <w:rPr>
          <w:sz w:val="22"/>
          <w:szCs w:val="22"/>
        </w:rPr>
        <w:t xml:space="preserve">No product exists today that detects troponin or BNP/NT-proBNP outside a blood sample. However, several research groups and one company have made real progress toward that goal, summarized below.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3000"/>
        <w:gridCol w:w="200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000"/>
            <w:shd w:fill="1F4E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Fluid / Route</w:t>
            </w:r>
          </w:p>
        </w:tc>
        <w:tc>
          <w:tcPr>
            <w:tcW w:type="dxa" w:w="3000"/>
            <w:shd w:fill="1F4E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2000"/>
            <w:shd w:fill="1F4E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 / Status</w:t>
            </w:r>
          </w:p>
        </w:tc>
      </w:tr>
      <w:tr>
        <w:tc>
          <w:tcPr>
            <w:tcW w:type="dxa" w:w="2600"/>
            <w:shd w:fill="F7F9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RCE Technologies — Infrasensor</w:t>
            </w:r>
          </w:p>
        </w:tc>
        <w:tc>
          <w:tcPr>
            <w:tcW w:type="dxa" w:w="2000"/>
            <w:shd w:fill="F7F9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Transdermal (through skin, optical)</w:t>
            </w:r>
          </w:p>
        </w:tc>
        <w:tc>
          <w:tcPr>
            <w:tcW w:type="dxa" w:w="3000"/>
            <w:shd w:fill="F7F9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Mid-infrared spectroscopy + ML to estimate troponin-I concentration at the wrist</w:t>
            </w:r>
          </w:p>
        </w:tc>
        <w:tc>
          <w:tcPr>
            <w:tcW w:type="dxa" w:w="2000"/>
            <w:shd w:fill="F7F9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Multicenter clinical trials; 90% accuracy predicting troponin-I/obstructed arteries in 5 min; not yet FDA-cleared or commercially sold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FIRST-SIGN (EU-funded consortium)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Interstitial fluid (microneedle)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Microneedle wearable benchmarking ISF troponin against venous blood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 development project targeting CE marking; not yet a product</w:t>
            </w:r>
          </w:p>
        </w:tc>
      </w:tr>
      <w:tr>
        <w:tc>
          <w:tcPr>
            <w:tcW w:type="dxa" w:w="2600"/>
            <w:shd w:fill="F7F9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NIH-funded academic project</w:t>
            </w:r>
          </w:p>
        </w:tc>
        <w:tc>
          <w:tcPr>
            <w:tcW w:type="dxa" w:w="2000"/>
            <w:shd w:fill="F7F9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Interstitial fluid (microneedle)</w:t>
            </w:r>
          </w:p>
        </w:tc>
        <w:tc>
          <w:tcPr>
            <w:tcW w:type="dxa" w:w="3000"/>
            <w:shd w:fill="F7F9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Aptamer-based electrochemical sensing for continuous troponin-I</w:t>
            </w:r>
          </w:p>
        </w:tc>
        <w:tc>
          <w:tcPr>
            <w:tcW w:type="dxa" w:w="2000"/>
            <w:shd w:fill="F7F9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University research stage; not commercialized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Femtomolar NT-proBNP aptasensor (academic)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Saliva (artificial)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Liquid-gated field-effect transistor with reduced graphene oxide + NT-proBNP aptamer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Lab-validated in artificial saliva only; no company or in vivo continuous validation yet</w:t>
            </w:r>
          </w:p>
        </w:tc>
      </w:tr>
      <w:tr>
        <w:tc>
          <w:tcPr>
            <w:tcW w:type="dxa" w:w="2600"/>
            <w:shd w:fill="F7F9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Nitrogen-doped graphene oxide troponin electrode (academic)</w:t>
            </w:r>
          </w:p>
        </w:tc>
        <w:tc>
          <w:tcPr>
            <w:tcW w:type="dxa" w:w="2000"/>
            <w:shd w:fill="F7F9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Serum and saliva</w:t>
            </w:r>
          </w:p>
        </w:tc>
        <w:tc>
          <w:tcPr>
            <w:tcW w:type="dxa" w:w="3000"/>
            <w:shd w:fill="F7F9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Electrochemical detection of cardiac troponin I</w:t>
            </w:r>
          </w:p>
        </w:tc>
        <w:tc>
          <w:tcPr>
            <w:tcW w:type="dxa" w:w="2000"/>
            <w:shd w:fill="F7F9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 research stage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Photonic crystal biochip (academic)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Saliva and urine (one drop)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Printed immunosensing biochip with fluorescence enhancement; 10-minute troponin T detection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Validated against 100 clinical samples in lab study; not commercialized</w:t>
            </w:r>
          </w:p>
        </w:tc>
      </w:tr>
      <w:tr>
        <w:tc>
          <w:tcPr>
            <w:tcW w:type="dxa" w:w="2600"/>
            <w:shd w:fill="F7F9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Marathon-runner saliva/serum study (clinical)</w:t>
            </w:r>
          </w:p>
        </w:tc>
        <w:tc>
          <w:tcPr>
            <w:tcW w:type="dxa" w:w="2000"/>
            <w:shd w:fill="F7F9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Saliva</w:t>
            </w:r>
          </w:p>
        </w:tc>
        <w:tc>
          <w:tcPr>
            <w:tcW w:type="dxa" w:w="3000"/>
            <w:shd w:fill="F7F9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Point-of-care troponin-I immunoassay comparing saliva to serum across time points</w:t>
            </w:r>
          </w:p>
        </w:tc>
        <w:tc>
          <w:tcPr>
            <w:tcW w:type="dxa" w:w="2000"/>
            <w:shd w:fill="F7F9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Clinical feasibility study; confirmed correlated kinetic pattern between saliva and serum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4. Why Saliva-Based Cardiac Biomarker Biosensors Have Not Been Commercialized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Ultra-low biomarker concentration in saliva compared to blood, well below what most existing validated salivary sensors (glucose, uric acid, lactate) are designed to detect.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standardized, agreed-upon correlation between salivary and blood biomarker concentrations across studies.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Saliva is a highly variable, easily contaminated sample matrix (flow rate, food/drink, talking).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Biofouling in the oral cavity degrades sensor surfaces quickly; no cardiac-specific saliva sensor has demonstrated multi-day stability.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completed large-scale clinical validation or regulatory (FDA/CE) pathway for any saliva-based cardiac biomarker device.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Practical wear compliance — a mouthguard competes with eating, drinking, and speaking, unlike a skin patch.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5. Our Proposed Solution: Mouthguard-Based Saliva Biosensor</w:t>
      </w:r>
    </w:p>
    <w:p>
      <w:pPr>
        <w:spacing w:after="140"/>
      </w:pPr>
      <w:r>
        <w:rPr>
          <w:sz w:val="22"/>
          <w:szCs w:val="22"/>
        </w:rPr>
        <w:t xml:space="preserve">A custom-fit intraoral mouthguard embedding an aptamer-functionalized, MXene-hydrogel electrode, designed specifically around the pain points above. Design layers: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000"/>
            <w:shd w:fill="1F4E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 / Function</w:t>
            </w:r>
          </w:p>
        </w:tc>
      </w:tr>
      <w:tr>
        <w:tc>
          <w:tcPr>
            <w:tcW w:type="dxa" w:w="2600"/>
            <w:shd w:fill="F7F9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Form factor</w:t>
            </w:r>
          </w:p>
        </w:tc>
        <w:tc>
          <w:tcPr>
            <w:tcW w:type="dxa" w:w="7000"/>
            <w:shd w:fill="F7F9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Custom-fit, removable intraoral mouthguard (worn like a retainer)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Sensing electrode</w:t>
            </w:r>
          </w:p>
        </w:tc>
        <w:tc>
          <w:tcPr>
            <w:tcW w:type="dxa" w:w="7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Aptamer-functionalized electrode (troponin- and NT-proBNP-specific aptamers) on a MXene-hydrogel composite substrate</w:t>
            </w:r>
          </w:p>
        </w:tc>
      </w:tr>
      <w:tr>
        <w:tc>
          <w:tcPr>
            <w:tcW w:type="dxa" w:w="2600"/>
            <w:shd w:fill="F7F9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Pre-filtration layer</w:t>
            </w:r>
          </w:p>
        </w:tc>
        <w:tc>
          <w:tcPr>
            <w:tcW w:type="dxa" w:w="7000"/>
            <w:shd w:fill="F7F9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Porous hydrogel membrane controlling biomarker diffusion while screening out food debris and bacteria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Flow architecture</w:t>
            </w:r>
          </w:p>
        </w:tc>
        <w:tc>
          <w:tcPr>
            <w:tcW w:type="dxa" w:w="7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Filter/O-ring assembly with a via-hole design enabling continuous, uninterrupted saliva flow across the sensing surface</w:t>
            </w:r>
          </w:p>
        </w:tc>
      </w:tr>
      <w:tr>
        <w:tc>
          <w:tcPr>
            <w:tcW w:type="dxa" w:w="2600"/>
            <w:shd w:fill="F7F9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Antifouling layer</w:t>
            </w:r>
          </w:p>
        </w:tc>
        <w:tc>
          <w:tcPr>
            <w:tcW w:type="dxa" w:w="7000"/>
            <w:shd w:fill="F7F9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Cellulose-acetate-type coating to resist mucus, food particle, and bacterial buildup over extended wear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Signal transduction</w:t>
            </w:r>
          </w:p>
        </w:tc>
        <w:tc>
          <w:tcPr>
            <w:tcW w:type="dxa" w:w="7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Electrochemical aptamer-based (E-AB) / impedimetric sensing — reversible binding supports continuous, repeated measurement</w:t>
            </w:r>
          </w:p>
        </w:tc>
      </w:tr>
      <w:tr>
        <w:tc>
          <w:tcPr>
            <w:tcW w:type="dxa" w:w="2600"/>
            <w:shd w:fill="F7F9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Electronics &amp; telemetry</w:t>
            </w:r>
          </w:p>
        </w:tc>
        <w:tc>
          <w:tcPr>
            <w:tcW w:type="dxa" w:w="7000"/>
            <w:shd w:fill="F7F9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Embedded low-power Bluetooth module transmitting readings to a companion phone app in real time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7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Deep-learning-assisted analysis to separate genuine biomarker trend changes from noise caused by eating, drinking, or flow-rate variation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6. How Our Proposal Fills the Gap</w:t>
      </w:r>
    </w:p>
    <w:p>
      <w:pPr>
        <w:spacing w:after="140"/>
      </w:pPr>
      <w:r>
        <w:rPr>
          <w:sz w:val="22"/>
          <w:szCs w:val="22"/>
        </w:rPr>
        <w:t xml:space="preserve">Each design choice above maps directly to a specific reason saliva-based cardiac biosensing has stalled in research and never reached the market: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900"/>
      </w:tblGrid>
      <w:tr>
        <w:trPr>
          <w:tblHeader/>
        </w:trPr>
        <w:tc>
          <w:tcPr>
            <w:tcW w:type="dxa" w:w="4700"/>
            <w:shd w:fill="1F4E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Pain point blocking commercialization</w:t>
            </w:r>
          </w:p>
        </w:tc>
        <w:tc>
          <w:tcPr>
            <w:tcW w:type="dxa" w:w="4900"/>
            <w:shd w:fill="1F4E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our mouthguard biosensor addresses it</w:t>
            </w:r>
          </w:p>
        </w:tc>
      </w:tr>
      <w:tr>
        <w:tc>
          <w:tcPr>
            <w:tcW w:type="dxa" w:w="4700"/>
            <w:shd w:fill="FBEF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Ultra-low biomarker concentration: NT-proBNP in saliva can be ~1000x lower than in blood, down to pg/mL levels; troponin is already picomolar-range in blood before further dilution.</w:t>
            </w:r>
          </w:p>
        </w:tc>
        <w:tc>
          <w:tcPr>
            <w:tcW w:type="dxa" w:w="4900"/>
            <w:shd w:fill="EAF5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Aptamer-functionalized electrode built on a MXene-hydrogel composite. MXene's high electrical conductivity and sensitivity amplifies weak binding signals, the same principle behind lab aptasensors reaching femtomolar detection limits.</w:t>
            </w:r>
          </w:p>
        </w:tc>
      </w:tr>
      <w:tr>
        <w:tc>
          <w:tcPr>
            <w:tcW w:type="dxa" w:w="4700"/>
            <w:shd w:fill="FDF6F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No standardized saliva-to-blood correlation yet — some studies report strong correlation, others only moderate correlation with high variability.</w:t>
            </w:r>
          </w:p>
        </w:tc>
        <w:tc>
          <w:tcPr>
            <w:tcW w:type="dxa" w:w="4900"/>
            <w:shd w:fill="F2FAF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Built-in calibration/regression model trained against paired serum measurements during development, positioning the project as advancing correlation science rather than assuming it is already solved.</w:t>
            </w:r>
          </w:p>
        </w:tc>
      </w:tr>
      <w:tr>
        <w:tc>
          <w:tcPr>
            <w:tcW w:type="dxa" w:w="4700"/>
            <w:shd w:fill="FBEF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Messy, uncontrolled sample matrix — flow rate, food/drink contamination, and talking all introduce noise unrelated to the true biomarker signal.</w:t>
            </w:r>
          </w:p>
        </w:tc>
        <w:tc>
          <w:tcPr>
            <w:tcW w:type="dxa" w:w="4900"/>
            <w:shd w:fill="EAF5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 porous hydrogel membrane over the electrode acts as a biochemical pre-filtration layer, controlling biomarker diffusion while blocking food debris and non-specific material — the same principle validated in periodontal (MMP-8) mouthguard sensors.</w:t>
            </w:r>
          </w:p>
        </w:tc>
      </w:tr>
      <w:tr>
        <w:tc>
          <w:tcPr>
            <w:tcW w:type="dxa" w:w="4700"/>
            <w:shd w:fill="FDF6F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Biofouling and short sensor lifespan — existing validated salivary mouthguard sensors have only demonstrated a few hours of stable continuous operation.</w:t>
            </w:r>
          </w:p>
        </w:tc>
        <w:tc>
          <w:tcPr>
            <w:tcW w:type="dxa" w:w="4900"/>
            <w:shd w:fill="F2FAF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Antifouling coating (as used in validated salivary glucose mouthguards) combined with the hydrogel's inherent resistance to non-specific adsorption, targeting multi-day stability rather than hours.</w:t>
            </w:r>
          </w:p>
        </w:tc>
      </w:tr>
      <w:tr>
        <w:tc>
          <w:tcPr>
            <w:tcW w:type="dxa" w:w="4700"/>
            <w:shd w:fill="FBEF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No completed clinical validation or regulatory pathway — every saliva-cardiac-biomarker result to date is lab/academic-stage only.</w:t>
            </w:r>
          </w:p>
        </w:tc>
        <w:tc>
          <w:tcPr>
            <w:tcW w:type="dxa" w:w="4900"/>
            <w:shd w:fill="EAF5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Proposed as the next feasibility step toward pilot/clinical validation, at the same maturity stage as comparable interstitial-fluid efforts (FIRST-SIGN, NIH-funded work) — an honest, credible positioning rather than an overclaim.</w:t>
            </w:r>
          </w:p>
        </w:tc>
      </w:tr>
      <w:tr>
        <w:tc>
          <w:tcPr>
            <w:tcW w:type="dxa" w:w="4700"/>
            <w:shd w:fill="FDF6F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Comfort and adherence for continuous wear — a mouthguard occupies the mouth and competes with eating, drinking, and speaking.</w:t>
            </w:r>
          </w:p>
        </w:tc>
        <w:tc>
          <w:tcPr>
            <w:tcW w:type="dxa" w:w="4900"/>
            <w:shd w:fill="F2FAF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Realistic wear protocol: continuous during sleep/rest periods, removable during meals — mirroring how CGMs are actually worn in practice rather than claiming unrealistic 24/7 use.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7. What Makes This Proposal Unique</w:t>
      </w:r>
    </w:p>
    <w:p>
      <w:pPr>
        <w:spacing w:after="140"/>
      </w:pPr>
      <w:r>
        <w:rPr>
          <w:sz w:val="22"/>
          <w:szCs w:val="22"/>
        </w:rPr>
        <w:t xml:space="preserve">No existing saliva-based cardiac biomarker work combines a MXene-hydrogel composite electrode with aptamer-based recognition; published academic efforts use graphene-oxide field-effect transistors or photonic-crystal biochips instead. Our contribution is not claiming to invent saliva-based cardiac sensing — it is applying a high-conductivity, biocompatible, antifouling-capable material platform to directly target the two biggest blockers (low sensitivity and short-lived sensor stability) that have kept this category from reaching continuous, multi-day wearable use.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8. Positioning Relative to the Closest Commercial Effort</w:t>
      </w:r>
    </w:p>
    <w:p>
      <w:pPr>
        <w:spacing w:after="140"/>
      </w:pPr>
      <w:r>
        <w:rPr>
          <w:sz w:val="22"/>
          <w:szCs w:val="22"/>
        </w:rPr>
        <w:t xml:space="preserve">RCE Technologies' Infrasensor is the most advanced non-blood cardiac biomarker device today, but it is a transdermal optical (infrared spectroscopy) device, not a chemical biosensor with a molecular recognition layer, and it is not yet FDA-cleared or commercially available. Our aptamer-based saliva platform offers a fundamentally different, more molecularly specific detection approach, and — unlike Infrasensor — is completely needle- and contact-free with skin.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2026-09-25T12:27:01.229Z</dcterms:created>
  <dcterms:modified xsi:type="dcterms:W3CDTF">2026-09-25T12:27:01.238Z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