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ESP APM — SERVICE-ORIENTED ARCHITECTURE</w:t>
      </w:r>
    </w:p>
    <w:p>
      <w:pPr>
        <w:spacing w:after="80"/>
        <w:jc w:val="center"/>
      </w:pPr>
      <w:r>
        <w:rPr>
          <w:b w:val="0"/>
          <w:i/>
        </w:rPr>
        <w:t>LOGICAL SERVICES vs DEPLOYMENT PROCESSES — IMPLEMENTATION STANDARD</w:t>
      </w:r>
    </w:p>
    <w:p>
      <w:pPr>
        <w:spacing w:after="80"/>
        <w:jc w:val="center"/>
      </w:pPr>
      <w:r>
        <w:rPr>
          <w:b w:val="0"/>
          <w:i w:val="0"/>
        </w:rPr>
        <w:t>Defines the production-grade approach for separating responsibilities without creating a microservice-per-component architecture. Companion to the Phase-5 REST + MCP service design.</w:t>
      </w:r>
    </w:p>
    <w:p>
      <w:pPr>
        <w:pStyle w:val="Heading1"/>
      </w:pPr>
      <w:r>
        <w:t>1. Architecture Decision</w:t>
      </w:r>
    </w:p>
    <w:p>
      <w:pPr>
        <w:spacing w:after="80"/>
        <w:jc w:val="left"/>
      </w:pPr>
      <w:r>
        <w:rPr>
          <w:b w:val="0"/>
          <w:i w:val="0"/>
        </w:rPr>
        <w:t>Use logical service boundaries across the ESP APM platform. A logical service does not automatically become a separate process or container. A service becomes a separate deployable only when independent scaling, ownership, security, failure isolation, release cadence, or compute characteristics justify it.</w:t>
      </w:r>
    </w:p>
    <w:p>
      <w:pPr>
        <w:spacing w:after="80"/>
        <w:jc w:val="left"/>
      </w:pPr>
      <w:r>
        <w:rPr>
          <w:b w:val="0"/>
          <w:i w:val="0"/>
        </w:rPr>
        <w:t>This preserves the guideline's separation of Asset Context, Data Services, Engineering Services, Knowledge Services, ML Services, Digital Twin and Governance while avoiding unnecessary fragmentation. [Guidelines.pdf §4.1–§4.2]</w:t>
      </w:r>
    </w:p>
    <w:p>
      <w:pPr>
        <w:pStyle w:val="Heading1"/>
      </w:pPr>
      <w:r>
        <w:t>2. Core Principle</w:t>
      </w:r>
    </w:p>
    <w:p>
      <w:pPr>
        <w:ind w:left="259" w:right="259"/>
      </w:pPr>
      <w:r>
        <w:rPr>
          <w:rFonts w:ascii="Consolas" w:hAnsi="Consolas"/>
          <w:sz w:val="14"/>
        </w:rPr>
        <w:t>LOGICAL SERVICE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 xml:space="preserve">    +-- API / schema boundary</w:t>
        <w:br/>
      </w:r>
      <w:r>
        <w:rPr>
          <w:rFonts w:ascii="Consolas" w:hAnsi="Consolas"/>
          <w:sz w:val="14"/>
        </w:rPr>
        <w:t xml:space="preserve">    +-- ownership boundary</w:t>
        <w:br/>
      </w:r>
      <w:r>
        <w:rPr>
          <w:rFonts w:ascii="Consolas" w:hAnsi="Consolas"/>
          <w:sz w:val="14"/>
        </w:rPr>
        <w:t xml:space="preserve">    +-- policy boundary</w:t>
        <w:br/>
      </w:r>
      <w:r>
        <w:rPr>
          <w:rFonts w:ascii="Consolas" w:hAnsi="Consolas"/>
          <w:sz w:val="14"/>
        </w:rPr>
        <w:t xml:space="preserve">    +-- test boundary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 xml:space="preserve">    +-- MAY become deployment boundary</w:t>
        <w:br/>
      </w:r>
      <w:r>
        <w:rPr>
          <w:rFonts w:ascii="Consolas" w:hAnsi="Consolas"/>
          <w:sz w:val="14"/>
        </w:rPr>
        <w:t xml:space="preserve">        only when justified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Therefore:</w:t>
        <w:br/>
      </w:r>
      <w:r>
        <w:rPr>
          <w:rFonts w:ascii="Consolas" w:hAnsi="Consolas"/>
          <w:sz w:val="14"/>
        </w:rPr>
        <w:t>Service ≠ Process</w:t>
        <w:br/>
      </w:r>
      <w:r>
        <w:rPr>
          <w:rFonts w:ascii="Consolas" w:hAnsi="Consolas"/>
          <w:sz w:val="14"/>
        </w:rPr>
        <w:t>Service ≠ Container</w:t>
        <w:br/>
      </w:r>
      <w:r>
        <w:rPr>
          <w:rFonts w:ascii="Consolas" w:hAnsi="Consolas"/>
          <w:sz w:val="14"/>
        </w:rPr>
        <w:t>Service ≠ Database</w:t>
        <w:br/>
      </w:r>
    </w:p>
    <w:p/>
    <w:p>
      <w:pPr>
        <w:pStyle w:val="Heading1"/>
      </w:pPr>
      <w:r>
        <w:t>3. Why Logical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Reason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Benefit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Separation of concerns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does not depend on source internals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Replaceability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Advait/SCADA/model implementations can change behind contracts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Independent testing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Contract/integration tests per capability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Access can be scoped by tool/service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Ownership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Clear team accountability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Observability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Calls traced by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Future scaling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Selected services can be split later without Agent redesign</w:t>
            </w:r>
          </w:p>
        </w:tc>
      </w:tr>
    </w:tbl>
    <w:p/>
    <w:p>
      <w:pPr>
        <w:pStyle w:val="Heading1"/>
      </w:pPr>
      <w:r>
        <w:t>4. Target Logical Service Map</w:t>
      </w:r>
    </w:p>
    <w:p>
      <w:pPr>
        <w:ind w:left="259" w:right="259"/>
      </w:pPr>
      <w:r>
        <w:rPr>
          <w:rFonts w:ascii="Consolas" w:hAnsi="Consolas"/>
          <w:sz w:val="14"/>
        </w:rPr>
        <w:t>AGENT PLATFORM</w:t>
        <w:br/>
      </w:r>
      <w:r>
        <w:rPr>
          <w:rFonts w:ascii="Consolas" w:hAnsi="Consolas"/>
          <w:sz w:val="14"/>
        </w:rPr>
        <w:t xml:space="preserve">              LangGraph Supervisor / Specialists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Tool Registry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Policy / ACL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+---------+---------+</w:t>
        <w:br/>
      </w:r>
      <w:r>
        <w:rPr>
          <w:rFonts w:ascii="Consolas" w:hAnsi="Consolas"/>
          <w:sz w:val="14"/>
        </w:rPr>
        <w:t xml:space="preserve">                 |                   |</w:t>
        <w:br/>
      </w:r>
      <w:r>
        <w:rPr>
          <w:rFonts w:ascii="Consolas" w:hAnsi="Consolas"/>
          <w:sz w:val="14"/>
        </w:rPr>
        <w:t xml:space="preserve">                REST                MCP</w:t>
        <w:br/>
      </w:r>
      <w:r>
        <w:rPr>
          <w:rFonts w:ascii="Consolas" w:hAnsi="Consolas"/>
          <w:sz w:val="14"/>
        </w:rPr>
        <w:t xml:space="preserve">              default            selective</w:t>
        <w:br/>
      </w:r>
      <w:r>
        <w:rPr>
          <w:rFonts w:ascii="Consolas" w:hAnsi="Consolas"/>
          <w:sz w:val="14"/>
        </w:rPr>
        <w:t xml:space="preserve">                 |                   |</w:t>
        <w:br/>
      </w:r>
      <w:r>
        <w:rPr>
          <w:rFonts w:ascii="Consolas" w:hAnsi="Consolas"/>
          <w:sz w:val="14"/>
        </w:rPr>
        <w:t xml:space="preserve">                 +---------+---------+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LOGICAL SERVICES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+----------+----------+-----------+----------+</w:t>
        <w:br/>
      </w:r>
      <w:r>
        <w:rPr>
          <w:rFonts w:ascii="Consolas" w:hAnsi="Consolas"/>
          <w:sz w:val="14"/>
        </w:rPr>
        <w:t xml:space="preserve">      |          |          |           |          |</w:t>
        <w:br/>
      </w:r>
      <w:r>
        <w:rPr>
          <w:rFonts w:ascii="Consolas" w:hAnsi="Consolas"/>
          <w:sz w:val="14"/>
        </w:rPr>
        <w:t xml:space="preserve">    Asset     Telemetry  Engineering    KB         ML</w:t>
        <w:br/>
      </w:r>
      <w:r>
        <w:rPr>
          <w:rFonts w:ascii="Consolas" w:hAnsi="Consolas"/>
          <w:sz w:val="14"/>
        </w:rPr>
        <w:t xml:space="preserve">   Context    /Historian            /Cases      Adapter</w:t>
        <w:br/>
      </w:r>
      <w:r>
        <w:rPr>
          <w:rFonts w:ascii="Consolas" w:hAnsi="Consolas"/>
          <w:sz w:val="14"/>
        </w:rPr>
        <w:t xml:space="preserve">      |          |          |           |          |</w:t>
        <w:br/>
      </w:r>
      <w:r>
        <w:rPr>
          <w:rFonts w:ascii="Consolas" w:hAnsi="Consolas"/>
          <w:sz w:val="14"/>
        </w:rPr>
        <w:t xml:space="preserve">      +----------+----------+-----------+----------+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+---------+---------+</w:t>
        <w:br/>
      </w:r>
      <w:r>
        <w:rPr>
          <w:rFonts w:ascii="Consolas" w:hAnsi="Consolas"/>
          <w:sz w:val="14"/>
        </w:rPr>
        <w:t xml:space="preserve">                 |         |         |</w:t>
        <w:br/>
      </w:r>
      <w:r>
        <w:rPr>
          <w:rFonts w:ascii="Consolas" w:hAnsi="Consolas"/>
          <w:sz w:val="14"/>
        </w:rPr>
        <w:t xml:space="preserve">               Event     Twin      Audit</w:t>
        <w:br/>
      </w:r>
    </w:p>
    <w:p/>
    <w:p>
      <w:pPr>
        <w:pStyle w:val="Heading1"/>
      </w:pPr>
      <w:r>
        <w:t>5. Logical Service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Service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Owns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Does not own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Identity, hierarchy, equipment, tags, configuration, approved limits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Telemetry history or Agent reasoning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Telemetry/Historian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Live/history, QoD, freshness, windows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Diagnosis or asset truth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Deterministic calculations + versions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LLM-generated mathematics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Hybrid retrieval, faults, procedures, cases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Raw telemetry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ML/Model Adapter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Normalized model outputs/version/confidence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Agent orchestration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Event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Event abstractions and processing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Diagnosis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Case/Outcome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Cases, actions, verification, outcomes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Live state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What-if/optimization execution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UI rendering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Trace/advisory/outcome records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Decision reasoning</w:t>
            </w:r>
          </w:p>
        </w:tc>
      </w:tr>
    </w:tbl>
    <w:p/>
    <w:p>
      <w:pPr>
        <w:pStyle w:val="Heading1"/>
      </w:pPr>
      <w:r>
        <w:t>6. Agent Access Boundary</w:t>
      </w:r>
    </w:p>
    <w:p>
      <w:pPr>
        <w:ind w:left="259" w:right="259"/>
      </w:pPr>
      <w:r>
        <w:rPr>
          <w:rFonts w:ascii="Consolas" w:hAnsi="Consolas"/>
          <w:sz w:val="14"/>
        </w:rPr>
        <w:t>Agent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Tool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Policy / ACL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REST or MCP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Application Service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Repository / Adapter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External System / Store</w:t>
        <w:br/>
      </w:r>
    </w:p>
    <w:p/>
    <w:p>
      <w:pPr>
        <w:spacing w:after="80"/>
        <w:jc w:val="left"/>
      </w:pPr>
      <w:r>
        <w:rPr>
          <w:b w:val="0"/>
          <w:i w:val="0"/>
        </w:rPr>
        <w:t>Agents and specialists do not access PostgreSQL, Redis, filesystem seeds, Advait APIs, MQTT brokers, or model internals directly.</w:t>
      </w:r>
    </w:p>
    <w:p>
      <w:pPr>
        <w:pStyle w:val="Heading1"/>
      </w:pPr>
      <w:r>
        <w:t>7. Recommended Deployment Units</w:t>
      </w:r>
    </w:p>
    <w:p>
      <w:pPr>
        <w:spacing w:after="80"/>
        <w:jc w:val="left"/>
      </w:pPr>
      <w:r>
        <w:rPr>
          <w:b w:val="0"/>
          <w:i w:val="0"/>
        </w:rPr>
        <w:t>Start with a small number of deployables while retaining logical service boundaries inside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Deployable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Possible contents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Agent Platform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API, LangGraph, Objective Registry, Tool Registry, specialist subgraphs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 Platform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Context, Telemetry read APIs, Engineering, Knowledge, Case/Outcome, Audit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Runtime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 Adapter + GPU/model servers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 Platform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Redis Streams + event processor/consumers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Realtime Gateway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WebSocket/SSE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Frontend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React/TypeScript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Data Infrastructure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PostgreSQL/pgvector, Redis, object storage</w:t>
            </w:r>
          </w:p>
        </w:tc>
      </w:tr>
    </w:tbl>
    <w:p/>
    <w:p>
      <w:pPr>
        <w:pStyle w:val="Heading1"/>
      </w:pPr>
      <w:r>
        <w:t>8. When to Split a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Trigger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ESP APM example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GPU/CPU isolation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inference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Independent scaling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Telemetry/event consumers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Different failure profile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Digital Twin workloads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 boundary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OT-facing connector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Independent ownership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Advait integration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Different release cadence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External model adapter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Long-running jobs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Optimization/simulation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Resource contention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Heavy retrieval/model workloads</w:t>
            </w:r>
          </w:p>
        </w:tc>
      </w:tr>
    </w:tbl>
    <w:p/>
    <w:p>
      <w:pPr>
        <w:pStyle w:val="Heading1"/>
      </w:pPr>
      <w:r>
        <w:t>9. When NOT to Split</w:t>
      </w:r>
    </w:p>
    <w:p>
      <w:pPr>
        <w:pStyle w:val="ListBullet"/>
      </w:pPr>
      <w:r>
        <w:t>Because a Python module is called a service.</w:t>
      </w:r>
    </w:p>
    <w:p>
      <w:pPr>
        <w:pStyle w:val="ListBullet"/>
      </w:pPr>
      <w:r>
        <w:t>Because it has a REST endpoint.</w:t>
      </w:r>
    </w:p>
    <w:p>
      <w:pPr>
        <w:pStyle w:val="ListBullet"/>
      </w:pPr>
      <w:r>
        <w:t>Because it owns a database table.</w:t>
      </w:r>
    </w:p>
    <w:p>
      <w:pPr>
        <w:pStyle w:val="ListBullet"/>
      </w:pPr>
      <w:r>
        <w:t>Because microservices are fashionable.</w:t>
      </w:r>
    </w:p>
    <w:p>
      <w:pPr>
        <w:pStyle w:val="ListBullet"/>
      </w:pPr>
      <w:r>
        <w:t>Before scale, reliability, security, ownership or release requirements justify the split.</w:t>
      </w:r>
    </w:p>
    <w:p>
      <w:pPr>
        <w:pStyle w:val="Heading1"/>
      </w:pPr>
      <w:r>
        <w:t>10. Initial Process Layout</w:t>
      </w:r>
    </w:p>
    <w:p>
      <w:pPr>
        <w:ind w:left="259" w:right="259"/>
      </w:pPr>
      <w:r>
        <w:rPr>
          <w:rFonts w:ascii="Consolas" w:hAnsi="Consolas"/>
          <w:sz w:val="14"/>
        </w:rPr>
        <w:t>A — Agent Platform</w:t>
        <w:br/>
      </w:r>
      <w:r>
        <w:rPr>
          <w:rFonts w:ascii="Consolas" w:hAnsi="Consolas"/>
          <w:sz w:val="14"/>
        </w:rPr>
        <w:t xml:space="preserve">  FastAPI Agent Gateway</w:t>
        <w:br/>
      </w:r>
      <w:r>
        <w:rPr>
          <w:rFonts w:ascii="Consolas" w:hAnsi="Consolas"/>
          <w:sz w:val="14"/>
        </w:rPr>
        <w:t xml:space="preserve">  Objective Registry</w:t>
        <w:br/>
      </w:r>
      <w:r>
        <w:rPr>
          <w:rFonts w:ascii="Consolas" w:hAnsi="Consolas"/>
          <w:sz w:val="14"/>
        </w:rPr>
        <w:t xml:space="preserve">  Tool Registry</w:t>
        <w:br/>
      </w:r>
      <w:r>
        <w:rPr>
          <w:rFonts w:ascii="Consolas" w:hAnsi="Consolas"/>
          <w:sz w:val="14"/>
        </w:rPr>
        <w:t xml:space="preserve">  Policy integration</w:t>
        <w:br/>
      </w:r>
      <w:r>
        <w:rPr>
          <w:rFonts w:ascii="Consolas" w:hAnsi="Consolas"/>
          <w:sz w:val="14"/>
        </w:rPr>
        <w:t xml:space="preserve">  LangGraph Supervisor</w:t>
        <w:br/>
      </w:r>
      <w:r>
        <w:rPr>
          <w:rFonts w:ascii="Consolas" w:hAnsi="Consolas"/>
          <w:sz w:val="14"/>
        </w:rPr>
        <w:t xml:space="preserve">  Specialist subgraphs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B — Domain Service Platform</w:t>
        <w:br/>
      </w:r>
      <w:r>
        <w:rPr>
          <w:rFonts w:ascii="Consolas" w:hAnsi="Consolas"/>
          <w:sz w:val="14"/>
        </w:rPr>
        <w:t xml:space="preserve">  Asset Context</w:t>
        <w:br/>
      </w:r>
      <w:r>
        <w:rPr>
          <w:rFonts w:ascii="Consolas" w:hAnsi="Consolas"/>
          <w:sz w:val="14"/>
        </w:rPr>
        <w:t xml:space="preserve">  Telemetry</w:t>
        <w:br/>
      </w:r>
      <w:r>
        <w:rPr>
          <w:rFonts w:ascii="Consolas" w:hAnsi="Consolas"/>
          <w:sz w:val="14"/>
        </w:rPr>
        <w:t xml:space="preserve">  Engineering</w:t>
        <w:br/>
      </w:r>
      <w:r>
        <w:rPr>
          <w:rFonts w:ascii="Consolas" w:hAnsi="Consolas"/>
          <w:sz w:val="14"/>
        </w:rPr>
        <w:t xml:space="preserve">  Knowledge</w:t>
        <w:br/>
      </w:r>
      <w:r>
        <w:rPr>
          <w:rFonts w:ascii="Consolas" w:hAnsi="Consolas"/>
          <w:sz w:val="14"/>
        </w:rPr>
        <w:t xml:space="preserve">  Case / Outcome</w:t>
        <w:br/>
      </w:r>
      <w:r>
        <w:rPr>
          <w:rFonts w:ascii="Consolas" w:hAnsi="Consolas"/>
          <w:sz w:val="14"/>
        </w:rPr>
        <w:t xml:space="preserve">  Audit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C — ML Runtime</w:t>
        <w:br/>
      </w:r>
      <w:r>
        <w:rPr>
          <w:rFonts w:ascii="Consolas" w:hAnsi="Consolas"/>
          <w:sz w:val="14"/>
        </w:rPr>
        <w:t xml:space="preserve">  Model Adapter</w:t>
        <w:br/>
      </w:r>
      <w:r>
        <w:rPr>
          <w:rFonts w:ascii="Consolas" w:hAnsi="Consolas"/>
          <w:sz w:val="14"/>
        </w:rPr>
        <w:t xml:space="preserve">  Model servers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D — Event Platform</w:t>
        <w:br/>
      </w:r>
      <w:r>
        <w:rPr>
          <w:rFonts w:ascii="Consolas" w:hAnsi="Consolas"/>
          <w:sz w:val="14"/>
        </w:rPr>
        <w:t xml:space="preserve">  Redis</w:t>
        <w:br/>
      </w:r>
      <w:r>
        <w:rPr>
          <w:rFonts w:ascii="Consolas" w:hAnsi="Consolas"/>
          <w:sz w:val="14"/>
        </w:rPr>
        <w:t xml:space="preserve">  Event Processor</w:t>
        <w:br/>
      </w:r>
      <w:r>
        <w:rPr>
          <w:rFonts w:ascii="Consolas" w:hAnsi="Consolas"/>
          <w:sz w:val="14"/>
        </w:rPr>
        <w:t xml:space="preserve">  Event Consumers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E — Realtime Gateway</w:t>
        <w:br/>
      </w:r>
      <w:r>
        <w:rPr>
          <w:rFonts w:ascii="Consolas" w:hAnsi="Consolas"/>
          <w:sz w:val="14"/>
        </w:rPr>
        <w:t xml:space="preserve">  WebSocket / SSE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F — Frontend</w:t>
        <w:br/>
      </w:r>
      <w:r>
        <w:rPr>
          <w:rFonts w:ascii="Consolas" w:hAnsi="Consolas"/>
          <w:sz w:val="14"/>
        </w:rPr>
        <w:t xml:space="preserve">  React / TypeScript</w:t>
        <w:br/>
      </w:r>
    </w:p>
    <w:p/>
    <w:p>
      <w:pPr>
        <w:pStyle w:val="Heading1"/>
      </w:pPr>
      <w:r>
        <w:t>11. Source-System Adapter Pattern</w:t>
      </w:r>
    </w:p>
    <w:p>
      <w:pPr>
        <w:ind w:left="259" w:right="259"/>
      </w:pPr>
      <w:r>
        <w:rPr>
          <w:rFonts w:ascii="Consolas" w:hAnsi="Consolas"/>
          <w:sz w:val="14"/>
        </w:rPr>
        <w:t>Application Service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Adapter Interface</w:t>
        <w:br/>
      </w:r>
      <w:r>
        <w:rPr>
          <w:rFonts w:ascii="Consolas" w:hAnsi="Consolas"/>
          <w:sz w:val="14"/>
        </w:rPr>
        <w:t xml:space="preserve">      |</w:t>
        <w:br/>
      </w:r>
      <w:r>
        <w:rPr>
          <w:rFonts w:ascii="Consolas" w:hAnsi="Consolas"/>
          <w:sz w:val="14"/>
        </w:rPr>
        <w:t>+-----+-----------+----------------+</w:t>
        <w:br/>
      </w:r>
      <w:r>
        <w:rPr>
          <w:rFonts w:ascii="Consolas" w:hAnsi="Consolas"/>
          <w:sz w:val="14"/>
        </w:rPr>
        <w:t>|                 |                |</w:t>
        <w:br/>
      </w:r>
      <w:r>
        <w:rPr>
          <w:rFonts w:ascii="Consolas" w:hAnsi="Consolas"/>
          <w:sz w:val="14"/>
        </w:rPr>
        <w:t>Advait Adapter   SCADA Adapter   Model Adapter</w:t>
        <w:br/>
      </w:r>
      <w:r>
        <w:rPr>
          <w:rFonts w:ascii="Consolas" w:hAnsi="Consolas"/>
          <w:sz w:val="14"/>
        </w:rPr>
        <w:t>|                 |                |</w:t>
        <w:br/>
      </w:r>
      <w:r>
        <w:rPr>
          <w:rFonts w:ascii="Consolas" w:hAnsi="Consolas"/>
          <w:sz w:val="14"/>
        </w:rPr>
        <w:t>Advait API       Historian       Model runtime</w:t>
        <w:br/>
      </w:r>
    </w:p>
    <w:p/>
    <w:p>
      <w:pPr>
        <w:spacing w:after="80"/>
        <w:jc w:val="left"/>
      </w:pPr>
      <w:r>
        <w:rPr>
          <w:b w:val="0"/>
          <w:i w:val="0"/>
        </w:rPr>
        <w:t>Adapters isolate external system formats from canonical domain contracts.</w:t>
      </w:r>
    </w:p>
    <w:p>
      <w:pPr>
        <w:pStyle w:val="Heading1"/>
      </w:pPr>
      <w:r>
        <w:t>12. Asset Context Example</w:t>
      </w:r>
    </w:p>
    <w:p>
      <w:pPr>
        <w:ind w:left="259" w:right="259"/>
      </w:pPr>
      <w:r>
        <w:rPr>
          <w:rFonts w:ascii="Consolas" w:hAnsi="Consolas"/>
          <w:sz w:val="14"/>
        </w:rPr>
        <w:t>get_asset_context("FS-031")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Asset Context Service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Advait Adapter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Advait API / local projection</w:t>
        <w:br/>
      </w:r>
    </w:p>
    <w:p/>
    <w:p>
      <w:pPr>
        <w:spacing w:after="80"/>
        <w:jc w:val="left"/>
      </w:pPr>
      <w:r>
        <w:rPr>
          <w:b w:val="0"/>
          <w:i w:val="0"/>
        </w:rPr>
        <w:t>An Advait API change should be isolated inside its adapter; the Agent-facing tool contract remains stable.</w:t>
      </w:r>
    </w:p>
    <w:p>
      <w:pPr>
        <w:pStyle w:val="Heading1"/>
      </w:pPr>
      <w:r>
        <w:t>13. Telemetry Example</w:t>
      </w:r>
    </w:p>
    <w:p>
      <w:pPr>
        <w:ind w:left="259" w:right="259"/>
      </w:pPr>
      <w:r>
        <w:rPr>
          <w:rFonts w:ascii="Consolas" w:hAnsi="Consolas"/>
          <w:sz w:val="14"/>
        </w:rPr>
        <w:t>get_history_window("FS-031", "24h")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Telemetry Service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Historian / Simulator / SCADA adapter</w:t>
        <w:br/>
      </w:r>
    </w:p>
    <w:p/>
    <w:p>
      <w:pPr>
        <w:spacing w:after="80"/>
        <w:jc w:val="left"/>
      </w:pPr>
      <w:r>
        <w:rPr>
          <w:b w:val="0"/>
          <w:i w:val="0"/>
        </w:rPr>
        <w:t>Upstream formats are normalized before reaching the Agent.</w:t>
      </w:r>
    </w:p>
    <w:p>
      <w:pPr>
        <w:pStyle w:val="Heading1"/>
      </w:pPr>
      <w:r>
        <w:t>14. Engineering Example</w:t>
      </w:r>
    </w:p>
    <w:p>
      <w:pPr>
        <w:ind w:left="259" w:right="259"/>
      </w:pPr>
      <w:r>
        <w:rPr>
          <w:rFonts w:ascii="Consolas" w:hAnsi="Consolas"/>
          <w:sz w:val="14"/>
        </w:rPr>
        <w:t>calculate_operating_point(...)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Engineering Service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Deterministic calculation</w:t>
        <w:br/>
      </w:r>
      <w:r>
        <w:rPr>
          <w:rFonts w:ascii="Consolas" w:hAnsi="Consolas"/>
          <w:sz w:val="14"/>
        </w:rPr>
        <w:t xml:space="preserve">       |</w:t>
        <w:br/>
      </w:r>
      <w:r>
        <w:rPr>
          <w:rFonts w:ascii="Consolas" w:hAnsi="Consolas"/>
          <w:sz w:val="14"/>
        </w:rPr>
        <w:t>result + units + assumptions + version</w:t>
        <w:br/>
      </w:r>
    </w:p>
    <w:p/>
    <w:p>
      <w:pPr>
        <w:spacing w:after="80"/>
        <w:jc w:val="left"/>
      </w:pPr>
      <w:r>
        <w:rPr>
          <w:b w:val="0"/>
          <w:i w:val="0"/>
        </w:rPr>
        <w:t>The Agent selects and interprets the calculation; it does not recreate engineering mathematics.</w:t>
      </w:r>
    </w:p>
    <w:p>
      <w:pPr>
        <w:pStyle w:val="Heading1"/>
      </w:pPr>
      <w:r>
        <w:t>15. ML Example</w:t>
      </w:r>
    </w:p>
    <w:p>
      <w:pPr>
        <w:ind w:left="259" w:right="259"/>
      </w:pPr>
      <w:r>
        <w:rPr>
          <w:rFonts w:ascii="Consolas" w:hAnsi="Consolas"/>
          <w:sz w:val="14"/>
        </w:rPr>
        <w:t>Specialist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get_failure_risk()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Model Adapter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Model runtime / API</w:t>
        <w:br/>
      </w:r>
      <w:r>
        <w:rPr>
          <w:rFonts w:ascii="Consolas" w:hAnsi="Consolas"/>
          <w:sz w:val="14"/>
        </w:rPr>
        <w:t xml:space="preserve">   |</w:t>
        <w:br/>
      </w:r>
      <w:r>
        <w:rPr>
          <w:rFonts w:ascii="Consolas" w:hAnsi="Consolas"/>
          <w:sz w:val="14"/>
        </w:rPr>
        <w:t>Structured ModelOutput</w:t>
        <w:br/>
      </w:r>
    </w:p>
    <w:p/>
    <w:p>
      <w:pPr>
        <w:spacing w:after="80"/>
        <w:jc w:val="left"/>
      </w:pPr>
      <w:r>
        <w:rPr>
          <w:b w:val="0"/>
          <w:i w:val="0"/>
        </w:rPr>
        <w:t>GPU-heavy model inference can be a separate deployment while the Model Adapter remains the stable service boundary.</w:t>
      </w:r>
    </w:p>
    <w:p>
      <w:pPr>
        <w:pStyle w:val="Heading1"/>
      </w:pPr>
      <w:r>
        <w:t>16. Knowledge Example</w:t>
      </w:r>
    </w:p>
    <w:p>
      <w:pPr>
        <w:ind w:left="259" w:right="259"/>
      </w:pPr>
      <w:r>
        <w:rPr>
          <w:rFonts w:ascii="Consolas" w:hAnsi="Consolas"/>
          <w:sz w:val="14"/>
        </w:rPr>
        <w:t>Knowledge Tool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Knowledge Service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BM25 + pgvector + reranker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Evidence + source + authority</w:t>
        <w:br/>
      </w:r>
    </w:p>
    <w:p/>
    <w:p>
      <w:pPr>
        <w:pStyle w:val="Heading1"/>
      </w:pPr>
      <w:r>
        <w:t>17. REST + MCP Boundary</w:t>
      </w:r>
    </w:p>
    <w:p>
      <w:pPr>
        <w:spacing w:after="80"/>
        <w:jc w:val="left"/>
      </w:pPr>
      <w:r>
        <w:rPr>
          <w:b w:val="0"/>
          <w:i w:val="0"/>
        </w:rPr>
        <w:t>REST is the default interface for ordinary domain/application integration. MCP is selective for Agent-facing tools/resources.</w:t>
      </w:r>
    </w:p>
    <w:p>
      <w:pPr>
        <w:ind w:left="259" w:right="259"/>
      </w:pPr>
      <w:r>
        <w:rPr>
          <w:rFonts w:ascii="Consolas" w:hAnsi="Consolas"/>
          <w:sz w:val="14"/>
        </w:rPr>
        <w:t>SAME APPLICATION SERVICE</w:t>
        <w:br/>
      </w:r>
      <w:r>
        <w:rPr>
          <w:rFonts w:ascii="Consolas" w:hAnsi="Consolas"/>
          <w:sz w:val="14"/>
        </w:rPr>
        <w:t xml:space="preserve">                  /                          REST           MCP</w:t>
        <w:br/>
      </w:r>
      <w:r>
        <w:rPr>
          <w:rFonts w:ascii="Consolas" w:hAnsi="Consolas"/>
          <w:sz w:val="14"/>
        </w:rPr>
        <w:t xml:space="preserve">                |              |</w:t>
        <w:br/>
      </w:r>
      <w:r>
        <w:rPr>
          <w:rFonts w:ascii="Consolas" w:hAnsi="Consolas"/>
          <w:sz w:val="14"/>
        </w:rPr>
        <w:t xml:space="preserve">         app/service clients  AI clients</w:t>
        <w:br/>
      </w:r>
    </w:p>
    <w:p/>
    <w:p>
      <w:pPr>
        <w:spacing w:after="80"/>
        <w:jc w:val="left"/>
      </w:pPr>
      <w:r>
        <w:rPr>
          <w:b w:val="0"/>
          <w:i w:val="0"/>
        </w:rPr>
        <w:t>Never duplicate business logic between REST and MCP.</w:t>
      </w:r>
    </w:p>
    <w:p>
      <w:pPr>
        <w:pStyle w:val="Heading1"/>
      </w:pPr>
      <w:r>
        <w:t>18. Frontend Boundary</w:t>
      </w:r>
    </w:p>
    <w:p>
      <w:pPr>
        <w:ind w:left="259" w:right="259"/>
      </w:pPr>
      <w:r>
        <w:rPr>
          <w:rFonts w:ascii="Consolas" w:hAnsi="Consolas"/>
          <w:sz w:val="14"/>
        </w:rPr>
        <w:t>Browser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BFF / UI API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+-----+-----+-----+-----+</w:t>
        <w:br/>
      </w:r>
      <w:r>
        <w:rPr>
          <w:rFonts w:ascii="Consolas" w:hAnsi="Consolas"/>
          <w:sz w:val="14"/>
        </w:rPr>
        <w:t>|     |     |     |     |</w:t>
        <w:br/>
      </w:r>
      <w:r>
        <w:rPr>
          <w:rFonts w:ascii="Consolas" w:hAnsi="Consolas"/>
          <w:sz w:val="14"/>
        </w:rPr>
        <w:t>Agent Asset Telemetry Evidence</w:t>
        <w:br/>
      </w:r>
    </w:p>
    <w:p/>
    <w:p>
      <w:pPr>
        <w:spacing w:after="80"/>
        <w:jc w:val="left"/>
      </w:pPr>
      <w:r>
        <w:rPr>
          <w:b w:val="0"/>
          <w:i w:val="0"/>
        </w:rPr>
        <w:t>The browser is a consumer, not a service orchestrator or security authority.</w:t>
      </w:r>
    </w:p>
    <w:p>
      <w:pPr>
        <w:pStyle w:val="Heading1"/>
      </w:pPr>
      <w:r>
        <w:t>19. Event Boundary</w:t>
      </w:r>
    </w:p>
    <w:p>
      <w:pPr>
        <w:ind w:left="259" w:right="259"/>
      </w:pPr>
      <w:r>
        <w:rPr>
          <w:rFonts w:ascii="Consolas" w:hAnsi="Consolas"/>
          <w:sz w:val="14"/>
        </w:rPr>
        <w:t>Domain Service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EventPublisher interface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Redis Streams Adapter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Redis Streams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Event Processor / Consumers</w:t>
        <w:br/>
      </w:r>
      <w:r>
        <w:rPr>
          <w:rFonts w:ascii="Consolas" w:hAnsi="Consolas"/>
          <w:sz w:val="14"/>
        </w:rPr>
        <w:t xml:space="preserve">    |</w:t>
        <w:br/>
      </w:r>
      <w:r>
        <w:rPr>
          <w:rFonts w:ascii="Consolas" w:hAnsi="Consolas"/>
          <w:sz w:val="14"/>
        </w:rPr>
        <w:t>Event → Objective → Agent</w:t>
        <w:br/>
      </w:r>
    </w:p>
    <w:p/>
    <w:p>
      <w:pPr>
        <w:spacing w:after="80"/>
        <w:jc w:val="left"/>
      </w:pPr>
      <w:r>
        <w:rPr>
          <w:b w:val="0"/>
          <w:i w:val="0"/>
        </w:rPr>
        <w:t>Services depend on the publisher abstraction, not Redis-specific implementation.</w:t>
      </w:r>
    </w:p>
    <w:p>
      <w:pPr>
        <w:pStyle w:val="Heading1"/>
      </w:pPr>
      <w:r>
        <w:t>20. Data Access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Store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Access rule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Only through owning/application 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pgvector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Through Knowledge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Redis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Through infrastructure/event/checkpoint adapters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Object store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Through relevant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SQLite prototype store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Through adapter/service only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No direct database access from Agent code.</w:t>
      </w:r>
    </w:p>
    <w:p>
      <w:pPr>
        <w:pStyle w:val="Heading1"/>
      </w:pPr>
      <w:r>
        <w:t>21. Shared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Contract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Primary consumers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AssetContextPayload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Asset/Agent/Tool/UI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TelemetryPayload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Telemetry/Agent/Evidence/UI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EngineeringResult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Engineering/Agent/Evidence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ModelOutputPayload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Model/Agent/Evidence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KnowledgeResult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KB/Agent/Evidence/UI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ESPEvent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Event/Objective/Agent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EvidencePack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Evidence/Agent/UI/Audit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Advisory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Agent/UI/Audit</w:t>
            </w:r>
          </w:p>
        </w:tc>
      </w:tr>
    </w:tbl>
    <w:p/>
    <w:p>
      <w:pPr>
        <w:pStyle w:val="Heading1"/>
      </w:pPr>
      <w:r>
        <w:t>22. Ownership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Domain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Architectural owner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Agent orchestration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Agentic platform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integration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Advait/data integration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Telemetry/OT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Data/OT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 calculations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KB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Knowledge/engineering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ESP models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AI/ML model team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Twin/engineering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UI/BFF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Product/frontend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Infrastructure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Platform/DevOps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Use the project's existing RACI for named role assignments; this table only freezes technical ownership boundaries.</w:t>
      </w:r>
    </w:p>
    <w:p>
      <w:pPr>
        <w:pStyle w:val="Heading1"/>
      </w:pPr>
      <w:r>
        <w:t>23. Security Boundary</w:t>
      </w:r>
    </w:p>
    <w:p>
      <w:pPr>
        <w:ind w:left="259" w:right="259"/>
      </w:pPr>
      <w:r>
        <w:rPr>
          <w:rFonts w:ascii="Consolas" w:hAnsi="Consolas"/>
          <w:sz w:val="14"/>
        </w:rPr>
        <w:t>Frontend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BFF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Authentication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Tenant / Asset Authorization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PolicyEngine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Tool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Service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External System</w:t>
        <w:br/>
      </w:r>
    </w:p>
    <w:p/>
    <w:p>
      <w:pPr>
        <w:spacing w:after="80"/>
        <w:jc w:val="left"/>
      </w:pPr>
      <w:r>
        <w:rPr>
          <w:b w:val="0"/>
          <w:i w:val="0"/>
        </w:rPr>
        <w:t>UI visibility is not authorization. Service-side authorization remains mandatory.</w:t>
      </w:r>
    </w:p>
    <w:p>
      <w:pPr>
        <w:pStyle w:val="Heading1"/>
      </w:pPr>
      <w:r>
        <w:t>24. Observability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service_name / service_version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contract_version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request_id / correlation_id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asset_id / tenant_id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When scoped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tool_id / objective_id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runs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source_system / source_version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kb_version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</w:tr>
    </w:tbl>
    <w:p/>
    <w:p>
      <w:pPr>
        <w:pStyle w:val="Heading1"/>
      </w:pPr>
      <w:r>
        <w:t>25. Reliability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Mechanism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Where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Timeout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Every remote call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Safe/idempotent operations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Circuit breaker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External dependencies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Fallback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Approved Asset Context fallback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Bulkhead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ML/Twin/Event workers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Cache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Slow-changing asset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Backpressure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Telemetry/events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DLQ/replay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 processing</w:t>
            </w:r>
          </w:p>
        </w:tc>
      </w:tr>
    </w:tbl>
    <w:p/>
    <w:p>
      <w:pPr>
        <w:pStyle w:val="Heading1"/>
      </w:pPr>
      <w:r>
        <w:t>26. Scaling / Deployment Evolution</w:t>
      </w:r>
    </w:p>
    <w:p>
      <w:pPr>
        <w:ind w:left="259" w:right="259"/>
      </w:pPr>
      <w:r>
        <w:rPr>
          <w:rFonts w:ascii="Consolas" w:hAnsi="Consolas"/>
          <w:sz w:val="14"/>
        </w:rPr>
        <w:t>EARLY STAGE</w:t>
        <w:br/>
      </w:r>
      <w:r>
        <w:rPr>
          <w:rFonts w:ascii="Consolas" w:hAnsi="Consolas"/>
          <w:sz w:val="14"/>
        </w:rPr>
        <w:t>Logical services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Small number of deployables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Low operational overhead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WHEN NEEDED</w:t>
        <w:br/>
      </w:r>
      <w:r>
        <w:rPr>
          <w:rFonts w:ascii="Consolas" w:hAnsi="Consolas"/>
          <w:sz w:val="14"/>
        </w:rPr>
        <w:t>Logical service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Independent deployable</w:t>
        <w:br/>
      </w:r>
      <w:r>
        <w:rPr>
          <w:rFonts w:ascii="Consolas" w:hAnsi="Consolas"/>
          <w:sz w:val="14"/>
        </w:rPr>
        <w:t xml:space="preserve">     |</w:t>
        <w:br/>
      </w:r>
      <w:r>
        <w:rPr>
          <w:rFonts w:ascii="Consolas" w:hAnsi="Consolas"/>
          <w:sz w:val="14"/>
        </w:rPr>
        <w:t>Independent scaling/security/release</w:t>
        <w:br/>
      </w:r>
    </w:p>
    <w:p/>
    <w:p>
      <w:pPr>
        <w:pStyle w:val="Heading1"/>
      </w:pPr>
      <w:r>
        <w:t>27. Examples of Likely Future Splits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Reason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 inference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GPU and concurrency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 ingestion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Throughput and OT isolation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 processor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High event volume / reliability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CPU-heavy long-running jobs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 retrieval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Independent scaling/index workloads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Advait adapter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External dependency/failure isolation</w:t>
            </w:r>
          </w:p>
        </w:tc>
      </w:tr>
    </w:tbl>
    <w:p/>
    <w:p>
      <w:pPr>
        <w:pStyle w:val="Heading1"/>
      </w:pPr>
      <w:r>
        <w:t>28. Phase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Phase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Implication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1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Define logical boundaries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2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Asset/Telemetry contracts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3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Knowledge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4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 → required tools/services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5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REST/MCP + service contract platform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6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 transport/processors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7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LangGraph orchestrates 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8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consumes service outputs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9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BFF/realtime/UI integrates platform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10+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Feedback loop and selective deployment scaling</w:t>
            </w:r>
          </w:p>
        </w:tc>
      </w:tr>
    </w:tbl>
    <w:p/>
    <w:p>
      <w:pPr>
        <w:pStyle w:val="Heading1"/>
      </w:pPr>
      <w:r>
        <w:t>29. MUST Rules</w:t>
      </w:r>
    </w:p>
    <w:p>
      <w:pPr>
        <w:pStyle w:val="ListBullet"/>
      </w:pPr>
      <w:r>
        <w:t>One business implementation per capability.</w:t>
      </w:r>
    </w:p>
    <w:p>
      <w:pPr>
        <w:pStyle w:val="ListBullet"/>
      </w:pPr>
      <w:r>
        <w:t>One canonical schema per domain contract.</w:t>
      </w:r>
    </w:p>
    <w:p>
      <w:pPr>
        <w:pStyle w:val="ListBullet"/>
      </w:pPr>
      <w:r>
        <w:t>Agent access only through tools/services.</w:t>
      </w:r>
    </w:p>
    <w:p>
      <w:pPr>
        <w:pStyle w:val="ListBullet"/>
      </w:pPr>
      <w:r>
        <w:t>REST is the default service interface.</w:t>
      </w:r>
    </w:p>
    <w:p>
      <w:pPr>
        <w:pStyle w:val="ListBullet"/>
      </w:pPr>
      <w:r>
        <w:t>MCP is selective and backed by the same application services.</w:t>
      </w:r>
    </w:p>
    <w:p>
      <w:pPr>
        <w:pStyle w:val="ListBullet"/>
      </w:pPr>
      <w:r>
        <w:t>External systems are isolated behind adapters.</w:t>
      </w:r>
    </w:p>
    <w:p>
      <w:pPr>
        <w:pStyle w:val="ListBullet"/>
      </w:pPr>
      <w:r>
        <w:t>Source of truth is explicit.</w:t>
      </w:r>
    </w:p>
    <w:p>
      <w:pPr>
        <w:pStyle w:val="ListBullet"/>
      </w:pPr>
      <w:r>
        <w:t>Security is enforced server-side.</w:t>
      </w:r>
    </w:p>
    <w:p>
      <w:pPr>
        <w:pStyle w:val="ListBullet"/>
      </w:pPr>
      <w:r>
        <w:t>Provenance/version/QoD is retained where applicable.</w:t>
      </w:r>
    </w:p>
    <w:p>
      <w:pPr>
        <w:pStyle w:val="ListBullet"/>
      </w:pPr>
      <w:r>
        <w:t>Logical service boundaries remain stable while deployment topology evolves.</w:t>
      </w:r>
    </w:p>
    <w:p>
      <w:pPr>
        <w:pStyle w:val="Heading1"/>
      </w:pPr>
      <w:r>
        <w:t>30. MUST NOT Rules</w:t>
      </w:r>
    </w:p>
    <w:p>
      <w:pPr>
        <w:pStyle w:val="ListBullet"/>
      </w:pPr>
      <w:r>
        <w:t>One container per Python module.</w:t>
      </w:r>
    </w:p>
    <w:p>
      <w:pPr>
        <w:pStyle w:val="ListBullet"/>
      </w:pPr>
      <w:r>
        <w:t>Different business logic in REST and MCP.</w:t>
      </w:r>
    </w:p>
    <w:p>
      <w:pPr>
        <w:pStyle w:val="ListBullet"/>
      </w:pPr>
      <w:r>
        <w:t>Direct database access from Agents.</w:t>
      </w:r>
    </w:p>
    <w:p>
      <w:pPr>
        <w:pStyle w:val="ListBullet"/>
      </w:pPr>
      <w:r>
        <w:t>Direct Redis access from Agents.</w:t>
      </w:r>
    </w:p>
    <w:p>
      <w:pPr>
        <w:pStyle w:val="ListBullet"/>
      </w:pPr>
      <w:r>
        <w:t>Engineering formulas hidden in prompts as source of truth.</w:t>
      </w:r>
    </w:p>
    <w:p>
      <w:pPr>
        <w:pStyle w:val="ListBullet"/>
      </w:pPr>
      <w:r>
        <w:t>Frontend orchestration of every service call.</w:t>
      </w:r>
    </w:p>
    <w:p>
      <w:pPr>
        <w:pStyle w:val="ListBullet"/>
      </w:pPr>
      <w:r>
        <w:t>Services created merely to mirror tables.</w:t>
      </w:r>
    </w:p>
    <w:p>
      <w:pPr>
        <w:pStyle w:val="ListBullet"/>
      </w:pPr>
      <w:r>
        <w:t>Microservice deployment used as an objective.</w:t>
      </w:r>
    </w:p>
    <w:p>
      <w:pPr>
        <w:pStyle w:val="Heading1"/>
      </w:pPr>
      <w:r>
        <w:t>31. Phase 5 / Implementation Handoff</w:t>
      </w:r>
    </w:p>
    <w:p>
      <w:pPr>
        <w:ind w:left="259" w:right="259"/>
      </w:pPr>
      <w:r>
        <w:rPr>
          <w:rFonts w:ascii="Consolas" w:hAnsi="Consolas"/>
          <w:sz w:val="14"/>
        </w:rPr>
        <w:t>PHASE 5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 Logical service contracts</w:t>
        <w:br/>
      </w:r>
      <w:r>
        <w:rPr>
          <w:rFonts w:ascii="Consolas" w:hAnsi="Consolas"/>
          <w:sz w:val="14"/>
        </w:rPr>
        <w:t xml:space="preserve">  +-- Shared schemas</w:t>
        <w:br/>
      </w:r>
      <w:r>
        <w:rPr>
          <w:rFonts w:ascii="Consolas" w:hAnsi="Consolas"/>
          <w:sz w:val="14"/>
        </w:rPr>
        <w:t xml:space="preserve">  +-- REST interfaces</w:t>
        <w:br/>
      </w:r>
      <w:r>
        <w:rPr>
          <w:rFonts w:ascii="Consolas" w:hAnsi="Consolas"/>
          <w:sz w:val="14"/>
        </w:rPr>
        <w:t xml:space="preserve">  +-- Selected MCP interfaces</w:t>
        <w:br/>
      </w:r>
      <w:r>
        <w:rPr>
          <w:rFonts w:ascii="Consolas" w:hAnsi="Consolas"/>
          <w:sz w:val="14"/>
        </w:rPr>
        <w:t xml:space="preserve">  +-- Policy/ACL</w:t>
        <w:br/>
      </w:r>
      <w:r>
        <w:rPr>
          <w:rFonts w:ascii="Consolas" w:hAnsi="Consolas"/>
          <w:sz w:val="14"/>
        </w:rPr>
        <w:t xml:space="preserve">  +-- Adapter pattern</w:t>
        <w:br/>
      </w:r>
      <w:r>
        <w:rPr>
          <w:rFonts w:ascii="Consolas" w:hAnsi="Consolas"/>
          <w:sz w:val="14"/>
        </w:rPr>
        <w:t xml:space="preserve">  +-- Observability/reliability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v</w:t>
        <w:br/>
      </w:r>
      <w:r>
        <w:rPr>
          <w:rFonts w:ascii="Consolas" w:hAnsi="Consolas"/>
          <w:sz w:val="14"/>
        </w:rPr>
        <w:t>PHASE 6</w:t>
        <w:br/>
      </w:r>
      <w:r>
        <w:rPr>
          <w:rFonts w:ascii="Consolas" w:hAnsi="Consolas"/>
          <w:sz w:val="14"/>
        </w:rPr>
        <w:t xml:space="preserve">  Event Platform / Redis Streams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PHASE 7</w:t>
        <w:br/>
      </w:r>
      <w:r>
        <w:rPr>
          <w:rFonts w:ascii="Consolas" w:hAnsi="Consolas"/>
          <w:sz w:val="14"/>
        </w:rPr>
        <w:t xml:space="preserve">  LangGraph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PHASE 8</w:t>
        <w:br/>
      </w:r>
      <w:r>
        <w:rPr>
          <w:rFonts w:ascii="Consolas" w:hAnsi="Consolas"/>
          <w:sz w:val="14"/>
        </w:rPr>
        <w:t xml:space="preserve">  Evidence / Context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PHASE 9</w:t>
        <w:br/>
      </w:r>
      <w:r>
        <w:rPr>
          <w:rFonts w:ascii="Consolas" w:hAnsi="Consolas"/>
          <w:sz w:val="14"/>
        </w:rPr>
        <w:t xml:space="preserve">  FE + BE Product Integration</w:t>
        <w:br/>
      </w:r>
    </w:p>
    <w:p/>
    <w:p>
      <w:pPr>
        <w:pStyle w:val="Heading1"/>
      </w:pPr>
      <w:r>
        <w:t>32.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Pass condition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Logical boundaries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Each capability has clear responsibility/source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Contracts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Versioned REST/MCP schemas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No duplication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REST/MCP share same implementation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Access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reaches systems only via tools/services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Adapters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External formats isolated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Tenant/asset/tool authorization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Observability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Calls traceable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Timeout/retry/fallback policies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Deployment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unjustified service/process explosion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Evolution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Service can be separated later without Agent contract redesign</w:t>
            </w:r>
          </w:p>
        </w:tc>
      </w:tr>
    </w:tbl>
    <w:p/>
    <w:p>
      <w:pPr>
        <w:pStyle w:val="Heading1"/>
      </w:pPr>
      <w:r>
        <w:t>33. Final Frozen Architecture</w:t>
      </w:r>
    </w:p>
    <w:p>
      <w:pPr>
        <w:ind w:left="259" w:right="259"/>
      </w:pPr>
      <w:r>
        <w:rPr>
          <w:rFonts w:ascii="Consolas" w:hAnsi="Consolas"/>
          <w:sz w:val="14"/>
        </w:rPr>
        <w:t>AGENT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TOOL LAYER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   POLICY / ACL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+-------+-------+</w:t>
        <w:br/>
      </w:r>
      <w:r>
        <w:rPr>
          <w:rFonts w:ascii="Consolas" w:hAnsi="Consolas"/>
          <w:sz w:val="14"/>
        </w:rPr>
        <w:t xml:space="preserve">                   |               |</w:t>
        <w:br/>
      </w:r>
      <w:r>
        <w:rPr>
          <w:rFonts w:ascii="Consolas" w:hAnsi="Consolas"/>
          <w:sz w:val="14"/>
        </w:rPr>
        <w:t xml:space="preserve">                 REST             MCP</w:t>
        <w:br/>
      </w:r>
      <w:r>
        <w:rPr>
          <w:rFonts w:ascii="Consolas" w:hAnsi="Consolas"/>
          <w:sz w:val="14"/>
        </w:rPr>
        <w:t xml:space="preserve">               default         selective</w:t>
        <w:br/>
      </w:r>
      <w:r>
        <w:rPr>
          <w:rFonts w:ascii="Consolas" w:hAnsi="Consolas"/>
          <w:sz w:val="14"/>
        </w:rPr>
        <w:t xml:space="preserve">                   |               |</w:t>
        <w:br/>
      </w:r>
      <w:r>
        <w:rPr>
          <w:rFonts w:ascii="Consolas" w:hAnsi="Consolas"/>
          <w:sz w:val="14"/>
        </w:rPr>
        <w:t xml:space="preserve">                   +-------+-------+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LOGICAL SERVICE LAYER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+----------+-----------+----------+-----------+</w:t>
        <w:br/>
      </w:r>
      <w:r>
        <w:rPr>
          <w:rFonts w:ascii="Consolas" w:hAnsi="Consolas"/>
          <w:sz w:val="14"/>
        </w:rPr>
        <w:t xml:space="preserve">    |          |           |          |           |</w:t>
        <w:br/>
      </w:r>
      <w:r>
        <w:rPr>
          <w:rFonts w:ascii="Consolas" w:hAnsi="Consolas"/>
          <w:sz w:val="14"/>
        </w:rPr>
        <w:t xml:space="preserve">  Asset    Telemetry   Engineering   KB          ML</w:t>
        <w:br/>
      </w:r>
      <w:r>
        <w:rPr>
          <w:rFonts w:ascii="Consolas" w:hAnsi="Consolas"/>
          <w:sz w:val="14"/>
        </w:rPr>
        <w:t xml:space="preserve"> Context   /Historian              /Cases      Adapter</w:t>
        <w:br/>
      </w:r>
      <w:r>
        <w:rPr>
          <w:rFonts w:ascii="Consolas" w:hAnsi="Consolas"/>
          <w:sz w:val="14"/>
        </w:rPr>
        <w:t xml:space="preserve">    |          |           |          |           |</w:t>
        <w:br/>
      </w:r>
      <w:r>
        <w:rPr>
          <w:rFonts w:ascii="Consolas" w:hAnsi="Consolas"/>
          <w:sz w:val="14"/>
        </w:rPr>
        <w:t xml:space="preserve">    +----------+-----------+----------+-----------+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Event / Twin / Audit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        Adapters / Repos</w:t>
        <w:br/>
      </w:r>
      <w:r>
        <w:rPr>
          <w:rFonts w:ascii="Consolas" w:hAnsi="Consolas"/>
          <w:sz w:val="14"/>
        </w:rPr>
        <w:t xml:space="preserve">                           |</w:t>
        <w:br/>
      </w:r>
      <w:r>
        <w:rPr>
          <w:rFonts w:ascii="Consolas" w:hAnsi="Consolas"/>
          <w:sz w:val="14"/>
        </w:rPr>
        <w:t xml:space="preserve">            Advait / SCADA / Models / Stores</w:t>
        <w:br/>
      </w:r>
    </w:p>
    <w:p/>
    <w:p>
      <w:pPr>
        <w:spacing w:after="80"/>
        <w:jc w:val="left"/>
      </w:pPr>
      <w:r>
        <w:rPr>
          <w:b w:val="0"/>
          <w:i w:val="0"/>
        </w:rPr>
        <w:t>Logical service boundaries are frozen independently of deployment boundaries. Start small, then split services only when measurable operational requirements justify it.</w:t>
      </w:r>
    </w:p>
    <w:p>
      <w:pPr>
        <w:pStyle w:val="Heading1"/>
      </w:pPr>
      <w:r>
        <w:t>34. Source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Guidelines.pdf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Use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§4.1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Separate Agent, Asset Context, Data, Engineering, Knowledge, ML, Digital Twin and Governance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§4.2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Expose ESP business logic through APIs or MCP-compatible 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§7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Data/QoD service 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§8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Deterministic engineering calculations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§10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Knowledge services and hybrid retrieval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§11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Independent versioned ML 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§13.2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Least privilege/tool authorization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§14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Proactive/event-driven architecture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§17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Security, observability and audit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FastAPI, Docker, Redis, PostgreSQL, OpenTelemetry and the MCP SDK are implementation recommendations, not mandatory products specified by the guideline.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Service-Oriented Architecture: Logical vs Deployment Boundaries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