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Display" w:hAnsi="Aptos Display"/>
          <w:b/>
          <w:i w:val="0"/>
          <w:color w:val="16324F"/>
          <w:sz w:val="48"/>
        </w:rPr>
        <w:t>ESP APM — ENGINEERING SERVICE</w:t>
      </w:r>
    </w:p>
    <w:p>
      <w:pPr>
        <w:spacing w:after="80"/>
        <w:jc w:val="center"/>
      </w:pPr>
      <w:r>
        <w:rPr>
          <w:b w:val="0"/>
          <w:i/>
        </w:rPr>
        <w:t>DEDICATED GRANULAR ARCHITECTURE + IMPLEMENTATION DESIGN</w:t>
      </w:r>
    </w:p>
    <w:p>
      <w:pPr>
        <w:spacing w:after="80"/>
        <w:jc w:val="center"/>
      </w:pPr>
      <w:r>
        <w:rPr>
          <w:b w:val="0"/>
          <w:i w:val="0"/>
        </w:rPr>
        <w:t>Grounded in the supplied ESP Engineering Research Package, engineering_calculation_registry.yaml, engineering_input_schema.json, engineering_reference_registry.yaml, and engineering_test_cases.yaml. This document defines the deterministic Engineering Service boundary, data flow, calculation execution model, validation gates, API/tool exposure, testing, and production implementation sequence.</w:t>
      </w:r>
    </w:p>
    <w:p>
      <w:pPr>
        <w:pStyle w:val="Heading1"/>
      </w:pPr>
      <w:r>
        <w:t>1. Purpose and Design Decision</w:t>
      </w:r>
    </w:p>
    <w:p>
      <w:pPr>
        <w:spacing w:after="80"/>
        <w:jc w:val="left"/>
      </w:pPr>
      <w:r>
        <w:rPr>
          <w:b w:val="0"/>
          <w:i w:val="0"/>
        </w:rPr>
        <w:t>The Engineering Service is the deterministic engineering-calculation boundary of the ESP Agentic platform. It computes approved calculations from authoritative inputs; the LLM may request/explain results but must not generate or silently modify formulas, constants, limits, or engineering assumptions.</w:t>
      </w:r>
    </w:p>
    <w:p>
      <w:pPr>
        <w:spacing w:after="80"/>
        <w:jc w:val="left"/>
      </w:pPr>
      <w:r>
        <w:rPr>
          <w:b w:val="0"/>
          <w:i w:val="0"/>
        </w:rPr>
        <w:t>This directly follows the research-package governing rule: the LLM is not the calculation authority, and formulas, correction factors, limits and constants must be fundamental, explicitly sourced, or marked REQUIRES ENGINEERING VALIDATION. [ESP_Engineering_Research_Package.md, §Purpose + Governing rule]</w:t>
      </w:r>
    </w:p>
    <w:p>
      <w:pPr>
        <w:pStyle w:val="Heading1"/>
      </w:pPr>
      <w:r>
        <w:t>2. Architecture Position in the Overall Agentic System</w:t>
      </w:r>
    </w:p>
    <w:p>
      <w:pPr>
        <w:ind w:left="259" w:right="259"/>
      </w:pPr>
      <w:r>
        <w:rPr>
          <w:rFonts w:ascii="Consolas" w:hAnsi="Consolas"/>
          <w:sz w:val="14"/>
        </w:rPr>
        <w:t>USER / EVENT</w:t>
        <w:br/>
      </w:r>
      <w:r>
        <w:rPr>
          <w:rFonts w:ascii="Consolas" w:hAnsi="Consolas"/>
          <w:sz w:val="14"/>
        </w:rPr>
        <w:t xml:space="preserve">    |</w:t>
        <w:br/>
      </w:r>
      <w:r>
        <w:rPr>
          <w:rFonts w:ascii="Consolas" w:hAnsi="Consolas"/>
          <w:sz w:val="14"/>
        </w:rPr>
        <w:t>OBJECTIVE</w:t>
        <w:br/>
      </w:r>
      <w:r>
        <w:rPr>
          <w:rFonts w:ascii="Consolas" w:hAnsi="Consolas"/>
          <w:sz w:val="14"/>
        </w:rPr>
        <w:t xml:space="preserve">    |</w:t>
        <w:br/>
      </w:r>
      <w:r>
        <w:rPr>
          <w:rFonts w:ascii="Consolas" w:hAnsi="Consolas"/>
          <w:sz w:val="14"/>
        </w:rPr>
        <w:t>LANGGRAPH SUPERVISOR</w:t>
        <w:br/>
      </w:r>
      <w:r>
        <w:rPr>
          <w:rFonts w:ascii="Consolas" w:hAnsi="Consolas"/>
          <w:sz w:val="14"/>
        </w:rPr>
        <w:t xml:space="preserve">    |</w:t>
        <w:br/>
      </w:r>
      <w:r>
        <w:rPr>
          <w:rFonts w:ascii="Consolas" w:hAnsi="Consolas"/>
          <w:sz w:val="14"/>
        </w:rPr>
        <w:t>SPECIALIST</w:t>
        <w:br/>
      </w:r>
      <w:r>
        <w:rPr>
          <w:rFonts w:ascii="Consolas" w:hAnsi="Consolas"/>
          <w:sz w:val="14"/>
        </w:rPr>
        <w:t xml:space="preserve">    |</w:t>
        <w:br/>
      </w:r>
      <w:r>
        <w:rPr>
          <w:rFonts w:ascii="Consolas" w:hAnsi="Consolas"/>
          <w:sz w:val="14"/>
        </w:rPr>
        <w:t>ENGINEERING TOOL</w:t>
        <w:br/>
      </w:r>
      <w:r>
        <w:rPr>
          <w:rFonts w:ascii="Consolas" w:hAnsi="Consolas"/>
          <w:sz w:val="14"/>
        </w:rPr>
        <w:t xml:space="preserve">    |</w:t>
        <w:br/>
      </w:r>
      <w:r>
        <w:rPr>
          <w:rFonts w:ascii="Consolas" w:hAnsi="Consolas"/>
          <w:sz w:val="14"/>
        </w:rPr>
        <w:t>POLICY / ACL</w:t>
        <w:br/>
      </w:r>
      <w:r>
        <w:rPr>
          <w:rFonts w:ascii="Consolas" w:hAnsi="Consolas"/>
          <w:sz w:val="14"/>
        </w:rPr>
        <w:t xml:space="preserve">    |</w:t>
        <w:br/>
      </w:r>
      <w:r>
        <w:rPr>
          <w:rFonts w:ascii="Consolas" w:hAnsi="Consolas"/>
          <w:sz w:val="14"/>
        </w:rPr>
        <w:t>ENGINEERING API</w:t>
        <w:br/>
      </w:r>
      <w:r>
        <w:rPr>
          <w:rFonts w:ascii="Consolas" w:hAnsi="Consolas"/>
          <w:sz w:val="14"/>
        </w:rPr>
        <w:t xml:space="preserve">    |</w:t>
        <w:br/>
      </w:r>
      <w:r>
        <w:rPr>
          <w:rFonts w:ascii="Consolas" w:hAnsi="Consolas"/>
          <w:sz w:val="14"/>
        </w:rPr>
        <w:t>ENGINEERING ORCHESTRATOR</w:t>
        <w:br/>
      </w:r>
      <w:r>
        <w:rPr>
          <w:rFonts w:ascii="Consolas" w:hAnsi="Consolas"/>
          <w:sz w:val="14"/>
        </w:rPr>
        <w:t xml:space="preserve">    |</w:t>
        <w:br/>
      </w:r>
      <w:r>
        <w:rPr>
          <w:rFonts w:ascii="Consolas" w:hAnsi="Consolas"/>
          <w:sz w:val="14"/>
        </w:rPr>
        <w:t>+-------------------------------+</w:t>
        <w:br/>
      </w:r>
      <w:r>
        <w:rPr>
          <w:rFonts w:ascii="Consolas" w:hAnsi="Consolas"/>
          <w:sz w:val="14"/>
        </w:rPr>
        <w:t>| Input Validation              |</w:t>
        <w:br/>
      </w:r>
      <w:r>
        <w:rPr>
          <w:rFonts w:ascii="Consolas" w:hAnsi="Consolas"/>
          <w:sz w:val="14"/>
        </w:rPr>
        <w:t>| Reference / Config Resolution |</w:t>
        <w:br/>
      </w:r>
      <w:r>
        <w:rPr>
          <w:rFonts w:ascii="Consolas" w:hAnsi="Consolas"/>
          <w:sz w:val="14"/>
        </w:rPr>
        <w:t>| Calculation Registry          |</w:t>
        <w:br/>
      </w:r>
      <w:r>
        <w:rPr>
          <w:rFonts w:ascii="Consolas" w:hAnsi="Consolas"/>
          <w:sz w:val="14"/>
        </w:rPr>
        <w:t>| Deterministic Engine         |</w:t>
        <w:br/>
      </w:r>
      <w:r>
        <w:rPr>
          <w:rFonts w:ascii="Consolas" w:hAnsi="Consolas"/>
          <w:sz w:val="14"/>
        </w:rPr>
        <w:t>| Result Validation             |</w:t>
        <w:br/>
      </w:r>
      <w:r>
        <w:rPr>
          <w:rFonts w:ascii="Consolas" w:hAnsi="Consolas"/>
          <w:sz w:val="14"/>
        </w:rPr>
        <w:t>| Provenance / Audit            |</w:t>
        <w:br/>
      </w:r>
      <w:r>
        <w:rPr>
          <w:rFonts w:ascii="Consolas" w:hAnsi="Consolas"/>
          <w:sz w:val="14"/>
        </w:rPr>
        <w:t>+-------------------------------+</w:t>
        <w:br/>
      </w:r>
      <w:r>
        <w:rPr>
          <w:rFonts w:ascii="Consolas" w:hAnsi="Consolas"/>
          <w:sz w:val="14"/>
        </w:rPr>
        <w:t xml:space="preserve">    |</w:t>
        <w:br/>
      </w:r>
      <w:r>
        <w:rPr>
          <w:rFonts w:ascii="Consolas" w:hAnsi="Consolas"/>
          <w:sz w:val="14"/>
        </w:rPr>
        <w:t>STRUCTURED ENGINEERING RESULT</w:t>
        <w:br/>
      </w:r>
      <w:r>
        <w:rPr>
          <w:rFonts w:ascii="Consolas" w:hAnsi="Consolas"/>
          <w:sz w:val="14"/>
        </w:rPr>
        <w:t xml:space="preserve">    |</w:t>
        <w:br/>
      </w:r>
      <w:r>
        <w:rPr>
          <w:rFonts w:ascii="Consolas" w:hAnsi="Consolas"/>
          <w:sz w:val="14"/>
        </w:rPr>
        <w:t>EVIDENCE PACK</w:t>
        <w:br/>
      </w:r>
      <w:r>
        <w:rPr>
          <w:rFonts w:ascii="Consolas" w:hAnsi="Consolas"/>
          <w:sz w:val="14"/>
        </w:rPr>
        <w:t xml:space="preserve">    |</w:t>
        <w:br/>
      </w:r>
      <w:r>
        <w:rPr>
          <w:rFonts w:ascii="Consolas" w:hAnsi="Consolas"/>
          <w:sz w:val="14"/>
        </w:rPr>
        <w:t>AGENT / XAI / UI</w:t>
        <w:br/>
      </w:r>
    </w:p>
    <w:p/>
    <w:p>
      <w:pPr>
        <w:spacing w:after="80"/>
        <w:jc w:val="left"/>
      </w:pPr>
      <w:r>
        <w:rPr>
          <w:b w:val="0"/>
          <w:i w:val="0"/>
        </w:rPr>
        <w:t>The service therefore sits behind the Tool Registry and PolicyEngine and in front of deterministic calculation functions.</w:t>
      </w:r>
    </w:p>
    <w:p>
      <w:pPr>
        <w:pStyle w:val="Heading1"/>
      </w:pPr>
      <w:r>
        <w:t>3. Authoritative Design Artifacts</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4"/>
              </w:rPr>
              <w:t>Artifact</w:t>
            </w:r>
          </w:p>
        </w:tc>
        <w:tc>
          <w:tcPr>
            <w:tcW w:type="dxa" w:w="3485"/>
            <w:shd w:fill="D9EAF7"/>
          </w:tcPr>
          <w:p>
            <w:r>
              <w:rPr>
                <w:b/>
                <w:sz w:val="14"/>
              </w:rPr>
              <w:t>Role in the Engineering Service</w:t>
            </w:r>
          </w:p>
        </w:tc>
        <w:tc>
          <w:tcPr>
            <w:tcW w:type="dxa" w:w="3485"/>
            <w:shd w:fill="D9EAF7"/>
          </w:tcPr>
          <w:p>
            <w:r>
              <w:rPr>
                <w:b/>
                <w:sz w:val="14"/>
              </w:rPr>
              <w:t>Grounded fact</w:t>
            </w:r>
          </w:p>
        </w:tc>
      </w:tr>
      <w:tr>
        <w:tc>
          <w:tcPr>
            <w:tcW w:type="dxa" w:w="3485"/>
            <w:vAlign w:val="center"/>
          </w:tcPr>
          <w:p>
            <w:r>
              <w:rPr>
                <w:sz w:val="14"/>
              </w:rPr>
              <w:t>engineering_calculation_registry.yaml</w:t>
            </w:r>
          </w:p>
        </w:tc>
        <w:tc>
          <w:tcPr>
            <w:tcW w:type="dxa" w:w="3485"/>
            <w:vAlign w:val="center"/>
          </w:tcPr>
          <w:p>
            <w:r>
              <w:rPr>
                <w:sz w:val="14"/>
              </w:rPr>
              <w:t>Executable calculation catalogue/configuration</w:t>
            </w:r>
          </w:p>
        </w:tc>
        <w:tc>
          <w:tcPr>
            <w:tcW w:type="dxa" w:w="3485"/>
            <w:vAlign w:val="center"/>
          </w:tcPr>
          <w:p>
            <w:r>
              <w:rPr>
                <w:sz w:val="14"/>
              </w:rPr>
              <w:t>Defines IDs, formulas, inputs, validity, outputs, dependencies and statuses; service must not regenerate formulas at runtime.</w:t>
            </w:r>
          </w:p>
        </w:tc>
      </w:tr>
      <w:tr>
        <w:tc>
          <w:tcPr>
            <w:tcW w:type="dxa" w:w="3485"/>
            <w:vAlign w:val="center"/>
          </w:tcPr>
          <w:p>
            <w:r>
              <w:rPr>
                <w:sz w:val="14"/>
              </w:rPr>
              <w:t>engineering_input_schema.json</w:t>
            </w:r>
          </w:p>
        </w:tc>
        <w:tc>
          <w:tcPr>
            <w:tcW w:type="dxa" w:w="3485"/>
            <w:vAlign w:val="center"/>
          </w:tcPr>
          <w:p>
            <w:r>
              <w:rPr>
                <w:sz w:val="14"/>
              </w:rPr>
              <w:t>Canonical input envelope/schema</w:t>
            </w:r>
          </w:p>
        </w:tc>
        <w:tc>
          <w:tcPr>
            <w:tcW w:type="dxa" w:w="3485"/>
            <w:vAlign w:val="center"/>
          </w:tcPr>
          <w:p>
            <w:r>
              <w:rPr>
                <w:sz w:val="14"/>
              </w:rPr>
              <w:t>Defines asset, runtime, fluid/PVT, well, ESP, OEM, client-limit and reliability data.</w:t>
            </w:r>
          </w:p>
        </w:tc>
      </w:tr>
      <w:tr>
        <w:tc>
          <w:tcPr>
            <w:tcW w:type="dxa" w:w="3485"/>
            <w:vAlign w:val="center"/>
          </w:tcPr>
          <w:p>
            <w:r>
              <w:rPr>
                <w:sz w:val="14"/>
              </w:rPr>
              <w:t>engineering_reference_registry.yaml</w:t>
            </w:r>
          </w:p>
        </w:tc>
        <w:tc>
          <w:tcPr>
            <w:tcW w:type="dxa" w:w="3485"/>
            <w:vAlign w:val="center"/>
          </w:tcPr>
          <w:p>
            <w:r>
              <w:rPr>
                <w:sz w:val="14"/>
              </w:rPr>
              <w:t>Reference/authority catalogue</w:t>
            </w:r>
          </w:p>
        </w:tc>
        <w:tc>
          <w:tcPr>
            <w:tcW w:type="dxa" w:w="3485"/>
            <w:vAlign w:val="center"/>
          </w:tcPr>
          <w:p>
            <w:r>
              <w:rPr>
                <w:sz w:val="14"/>
              </w:rPr>
              <w:t>Tracks standards, editions/status, applicability and validation gaps.</w:t>
            </w:r>
          </w:p>
        </w:tc>
      </w:tr>
      <w:tr>
        <w:tc>
          <w:tcPr>
            <w:tcW w:type="dxa" w:w="3485"/>
            <w:vAlign w:val="center"/>
          </w:tcPr>
          <w:p>
            <w:r>
              <w:rPr>
                <w:sz w:val="14"/>
              </w:rPr>
              <w:t>engineering_test_cases.yaml</w:t>
            </w:r>
          </w:p>
        </w:tc>
        <w:tc>
          <w:tcPr>
            <w:tcW w:type="dxa" w:w="3485"/>
            <w:vAlign w:val="center"/>
          </w:tcPr>
          <w:p>
            <w:r>
              <w:rPr>
                <w:sz w:val="14"/>
              </w:rPr>
              <w:t>Verification and fail-closed tests</w:t>
            </w:r>
          </w:p>
        </w:tc>
        <w:tc>
          <w:tcPr>
            <w:tcW w:type="dxa" w:w="3485"/>
            <w:vAlign w:val="center"/>
          </w:tcPr>
          <w:p>
            <w:r>
              <w:rPr>
                <w:sz w:val="14"/>
              </w:rPr>
              <w:t>Separates synthetic arithmetic checks from real-data placeholders and failure-mode checks.</w:t>
            </w:r>
          </w:p>
        </w:tc>
      </w:tr>
      <w:tr>
        <w:tc>
          <w:tcPr>
            <w:tcW w:type="dxa" w:w="3485"/>
            <w:vAlign w:val="center"/>
          </w:tcPr>
          <w:p>
            <w:r>
              <w:rPr>
                <w:sz w:val="14"/>
              </w:rPr>
              <w:t>ESP_Engineering_Research_Package.md</w:t>
            </w:r>
          </w:p>
        </w:tc>
        <w:tc>
          <w:tcPr>
            <w:tcW w:type="dxa" w:w="3485"/>
            <w:vAlign w:val="center"/>
          </w:tcPr>
          <w:p>
            <w:r>
              <w:rPr>
                <w:sz w:val="14"/>
              </w:rPr>
              <w:t>Research basis and data requirements</w:t>
            </w:r>
          </w:p>
        </w:tc>
        <w:tc>
          <w:tcPr>
            <w:tcW w:type="dxa" w:w="3485"/>
            <w:vAlign w:val="center"/>
          </w:tcPr>
          <w:p>
            <w:r>
              <w:rPr>
                <w:sz w:val="14"/>
              </w:rPr>
              <w:t>Defines calculation intent, input dependencies, standards/OEM boundaries and unresolved validation items.</w:t>
            </w:r>
          </w:p>
        </w:tc>
      </w:tr>
    </w:tbl>
    <w:p/>
    <w:p>
      <w:pPr>
        <w:pStyle w:val="Heading1"/>
      </w:pPr>
      <w:r>
        <w:t>4. Core Architectural Principles</w:t>
      </w:r>
    </w:p>
    <w:p>
      <w:pPr>
        <w:pStyle w:val="ListBullet"/>
        <w:spacing w:after="20"/>
      </w:pPr>
      <w:r>
        <w:t>Deterministic execution: identical validated inputs + versioned configuration produce reproducible outputs.</w:t>
      </w:r>
    </w:p>
    <w:p>
      <w:pPr>
        <w:pStyle w:val="ListBullet"/>
        <w:spacing w:after="20"/>
      </w:pPr>
      <w:r>
        <w:t>Fail-closed: missing required inputs, unapproved limits or unresolved engineering validation block the dependent calculation rather than using a generic default.</w:t>
      </w:r>
    </w:p>
    <w:p>
      <w:pPr>
        <w:pStyle w:val="ListBullet"/>
        <w:spacing w:after="20"/>
      </w:pPr>
      <w:r>
        <w:t>Reference-aware: every material result carries calculation/reference/version/provenance metadata.</w:t>
      </w:r>
    </w:p>
    <w:p>
      <w:pPr>
        <w:pStyle w:val="ListBullet"/>
        <w:spacing w:after="20"/>
      </w:pPr>
      <w:r>
        <w:t>Asset-aware: calculations use the exact installed equipment and asset-specific data where required.</w:t>
      </w:r>
    </w:p>
    <w:p>
      <w:pPr>
        <w:pStyle w:val="ListBullet"/>
        <w:spacing w:after="20"/>
      </w:pPr>
      <w:r>
        <w:t>No LLM calculation: the LLM calls typed engineering tools and explains the returned result.</w:t>
      </w:r>
    </w:p>
    <w:p>
      <w:pPr>
        <w:pStyle w:val="ListBullet"/>
        <w:spacing w:after="20"/>
      </w:pPr>
      <w:r>
        <w:t>No direct source access from the Agent: source data is retrieved through controlled adapters/services.</w:t>
      </w:r>
    </w:p>
    <w:p>
      <w:pPr>
        <w:pStyle w:val="ListBullet"/>
        <w:spacing w:after="20"/>
      </w:pPr>
      <w:r>
        <w:t>Explicit uncertainty: approximations, correlation choices, curve interpolation, or unresolved applicability remain visible.</w:t>
      </w:r>
    </w:p>
    <w:p>
      <w:pPr>
        <w:pStyle w:val="ListBullet"/>
        <w:spacing w:after="20"/>
      </w:pPr>
      <w:r>
        <w:t>No universal defaults: especially for OEM curves, ROR, vibration, motor temperature, underload/overload thresholds and PVT correlations.</w:t>
      </w:r>
    </w:p>
    <w:p>
      <w:pPr>
        <w:pStyle w:val="Heading1"/>
      </w:pPr>
      <w:r>
        <w:t>5. Service Internal Components</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Pr>
          <w:p>
            <w:r>
              <w:rPr>
                <w:b/>
                <w:sz w:val="14"/>
              </w:rPr>
              <w:t>Component</w:t>
            </w:r>
          </w:p>
        </w:tc>
        <w:tc>
          <w:tcPr>
            <w:tcW w:type="dxa" w:w="2613"/>
            <w:shd w:fill="D9EAF7"/>
          </w:tcPr>
          <w:p>
            <w:r>
              <w:rPr>
                <w:b/>
                <w:sz w:val="14"/>
              </w:rPr>
              <w:t>Responsibility</w:t>
            </w:r>
          </w:p>
        </w:tc>
        <w:tc>
          <w:tcPr>
            <w:tcW w:type="dxa" w:w="2613"/>
            <w:shd w:fill="D9EAF7"/>
          </w:tcPr>
          <w:p>
            <w:r>
              <w:rPr>
                <w:b/>
                <w:sz w:val="14"/>
              </w:rPr>
              <w:t>Input</w:t>
            </w:r>
          </w:p>
        </w:tc>
        <w:tc>
          <w:tcPr>
            <w:tcW w:type="dxa" w:w="2613"/>
            <w:shd w:fill="D9EAF7"/>
          </w:tcPr>
          <w:p>
            <w:r>
              <w:rPr>
                <w:b/>
                <w:sz w:val="14"/>
              </w:rPr>
              <w:t>Output</w:t>
            </w:r>
          </w:p>
        </w:tc>
      </w:tr>
      <w:tr>
        <w:tc>
          <w:tcPr>
            <w:tcW w:type="dxa" w:w="2613"/>
            <w:vAlign w:val="center"/>
          </w:tcPr>
          <w:p>
            <w:r>
              <w:rPr>
                <w:sz w:val="14"/>
              </w:rPr>
              <w:t>API layer</w:t>
            </w:r>
          </w:p>
        </w:tc>
        <w:tc>
          <w:tcPr>
            <w:tcW w:type="dxa" w:w="2613"/>
            <w:vAlign w:val="center"/>
          </w:tcPr>
          <w:p>
            <w:r>
              <w:rPr>
                <w:sz w:val="14"/>
              </w:rPr>
              <w:t>Accept typed calculation requests</w:t>
            </w:r>
          </w:p>
        </w:tc>
        <w:tc>
          <w:tcPr>
            <w:tcW w:type="dxa" w:w="2613"/>
            <w:vAlign w:val="center"/>
          </w:tcPr>
          <w:p>
            <w:r>
              <w:rPr>
                <w:sz w:val="14"/>
              </w:rPr>
              <w:t>CalculationRequest</w:t>
            </w:r>
          </w:p>
        </w:tc>
        <w:tc>
          <w:tcPr>
            <w:tcW w:type="dxa" w:w="2613"/>
            <w:vAlign w:val="center"/>
          </w:tcPr>
          <w:p>
            <w:r>
              <w:rPr>
                <w:sz w:val="14"/>
              </w:rPr>
              <w:t>CalculationResponse</w:t>
            </w:r>
          </w:p>
        </w:tc>
      </w:tr>
      <w:tr>
        <w:tc>
          <w:tcPr>
            <w:tcW w:type="dxa" w:w="2613"/>
            <w:vAlign w:val="center"/>
          </w:tcPr>
          <w:p>
            <w:r>
              <w:rPr>
                <w:sz w:val="14"/>
              </w:rPr>
              <w:t>Request validator</w:t>
            </w:r>
          </w:p>
        </w:tc>
        <w:tc>
          <w:tcPr>
            <w:tcW w:type="dxa" w:w="2613"/>
            <w:vAlign w:val="center"/>
          </w:tcPr>
          <w:p>
            <w:r>
              <w:rPr>
                <w:sz w:val="14"/>
              </w:rPr>
              <w:t>Validate schema + field types</w:t>
            </w:r>
          </w:p>
        </w:tc>
        <w:tc>
          <w:tcPr>
            <w:tcW w:type="dxa" w:w="2613"/>
            <w:vAlign w:val="center"/>
          </w:tcPr>
          <w:p>
            <w:r>
              <w:rPr>
                <w:sz w:val="14"/>
              </w:rPr>
              <w:t>Request</w:t>
            </w:r>
          </w:p>
        </w:tc>
        <w:tc>
          <w:tcPr>
            <w:tcW w:type="dxa" w:w="2613"/>
            <w:vAlign w:val="center"/>
          </w:tcPr>
          <w:p>
            <w:r>
              <w:rPr>
                <w:sz w:val="14"/>
              </w:rPr>
              <w:t>Validated request / errors</w:t>
            </w:r>
          </w:p>
        </w:tc>
      </w:tr>
      <w:tr>
        <w:tc>
          <w:tcPr>
            <w:tcW w:type="dxa" w:w="2613"/>
            <w:vAlign w:val="center"/>
          </w:tcPr>
          <w:p>
            <w:r>
              <w:rPr>
                <w:sz w:val="14"/>
              </w:rPr>
              <w:t>Reference resolver</w:t>
            </w:r>
          </w:p>
        </w:tc>
        <w:tc>
          <w:tcPr>
            <w:tcW w:type="dxa" w:w="2613"/>
            <w:vAlign w:val="center"/>
          </w:tcPr>
          <w:p>
            <w:r>
              <w:rPr>
                <w:sz w:val="14"/>
              </w:rPr>
              <w:t>Resolve calculation/reference/OEM/client configuration</w:t>
            </w:r>
          </w:p>
        </w:tc>
        <w:tc>
          <w:tcPr>
            <w:tcW w:type="dxa" w:w="2613"/>
            <w:vAlign w:val="center"/>
          </w:tcPr>
          <w:p>
            <w:r>
              <w:rPr>
                <w:sz w:val="14"/>
              </w:rPr>
              <w:t>Calc ID + asset</w:t>
            </w:r>
          </w:p>
        </w:tc>
        <w:tc>
          <w:tcPr>
            <w:tcW w:type="dxa" w:w="2613"/>
            <w:vAlign w:val="center"/>
          </w:tcPr>
          <w:p>
            <w:r>
              <w:rPr>
                <w:sz w:val="14"/>
              </w:rPr>
              <w:t>Reference/config set</w:t>
            </w:r>
          </w:p>
        </w:tc>
      </w:tr>
      <w:tr>
        <w:tc>
          <w:tcPr>
            <w:tcW w:type="dxa" w:w="2613"/>
            <w:vAlign w:val="center"/>
          </w:tcPr>
          <w:p>
            <w:r>
              <w:rPr>
                <w:sz w:val="14"/>
              </w:rPr>
              <w:t>Calculation registry loader</w:t>
            </w:r>
          </w:p>
        </w:tc>
        <w:tc>
          <w:tcPr>
            <w:tcW w:type="dxa" w:w="2613"/>
            <w:vAlign w:val="center"/>
          </w:tcPr>
          <w:p>
            <w:r>
              <w:rPr>
                <w:sz w:val="14"/>
              </w:rPr>
              <w:t>Load immutable runtime config</w:t>
            </w:r>
          </w:p>
        </w:tc>
        <w:tc>
          <w:tcPr>
            <w:tcW w:type="dxa" w:w="2613"/>
            <w:vAlign w:val="center"/>
          </w:tcPr>
          <w:p>
            <w:r>
              <w:rPr>
                <w:sz w:val="14"/>
              </w:rPr>
              <w:t>Registry</w:t>
            </w:r>
          </w:p>
        </w:tc>
        <w:tc>
          <w:tcPr>
            <w:tcW w:type="dxa" w:w="2613"/>
            <w:vAlign w:val="center"/>
          </w:tcPr>
          <w:p>
            <w:r>
              <w:rPr>
                <w:sz w:val="14"/>
              </w:rPr>
              <w:t>Calculation definition</w:t>
            </w:r>
          </w:p>
        </w:tc>
      </w:tr>
      <w:tr>
        <w:tc>
          <w:tcPr>
            <w:tcW w:type="dxa" w:w="2613"/>
            <w:vAlign w:val="center"/>
          </w:tcPr>
          <w:p>
            <w:r>
              <w:rPr>
                <w:sz w:val="14"/>
              </w:rPr>
              <w:t>Input resolver</w:t>
            </w:r>
          </w:p>
        </w:tc>
        <w:tc>
          <w:tcPr>
            <w:tcW w:type="dxa" w:w="2613"/>
            <w:vAlign w:val="center"/>
          </w:tcPr>
          <w:p>
            <w:r>
              <w:rPr>
                <w:sz w:val="14"/>
              </w:rPr>
              <w:t>Join asset/runtime/OEM/client/PVT inputs</w:t>
            </w:r>
          </w:p>
        </w:tc>
        <w:tc>
          <w:tcPr>
            <w:tcW w:type="dxa" w:w="2613"/>
            <w:vAlign w:val="center"/>
          </w:tcPr>
          <w:p>
            <w:r>
              <w:rPr>
                <w:sz w:val="14"/>
              </w:rPr>
              <w:t>Validated request</w:t>
            </w:r>
          </w:p>
        </w:tc>
        <w:tc>
          <w:tcPr>
            <w:tcW w:type="dxa" w:w="2613"/>
            <w:vAlign w:val="center"/>
          </w:tcPr>
          <w:p>
            <w:r>
              <w:rPr>
                <w:sz w:val="14"/>
              </w:rPr>
              <w:t>Resolved calculation inputs</w:t>
            </w:r>
          </w:p>
        </w:tc>
      </w:tr>
      <w:tr>
        <w:tc>
          <w:tcPr>
            <w:tcW w:type="dxa" w:w="2613"/>
            <w:vAlign w:val="center"/>
          </w:tcPr>
          <w:p>
            <w:r>
              <w:rPr>
                <w:sz w:val="14"/>
              </w:rPr>
              <w:t>Deterministic engine</w:t>
            </w:r>
          </w:p>
        </w:tc>
        <w:tc>
          <w:tcPr>
            <w:tcW w:type="dxa" w:w="2613"/>
            <w:vAlign w:val="center"/>
          </w:tcPr>
          <w:p>
            <w:r>
              <w:rPr>
                <w:sz w:val="14"/>
              </w:rPr>
              <w:t>Execute approved formula/lookup/statistics</w:t>
            </w:r>
          </w:p>
        </w:tc>
        <w:tc>
          <w:tcPr>
            <w:tcW w:type="dxa" w:w="2613"/>
            <w:vAlign w:val="center"/>
          </w:tcPr>
          <w:p>
            <w:r>
              <w:rPr>
                <w:sz w:val="14"/>
              </w:rPr>
              <w:t>Resolved inputs</w:t>
            </w:r>
          </w:p>
        </w:tc>
        <w:tc>
          <w:tcPr>
            <w:tcW w:type="dxa" w:w="2613"/>
            <w:vAlign w:val="center"/>
          </w:tcPr>
          <w:p>
            <w:r>
              <w:rPr>
                <w:sz w:val="14"/>
              </w:rPr>
              <w:t>Raw calculation result</w:t>
            </w:r>
          </w:p>
        </w:tc>
      </w:tr>
      <w:tr>
        <w:tc>
          <w:tcPr>
            <w:tcW w:type="dxa" w:w="2613"/>
            <w:vAlign w:val="center"/>
          </w:tcPr>
          <w:p>
            <w:r>
              <w:rPr>
                <w:sz w:val="14"/>
              </w:rPr>
              <w:t>Result validator</w:t>
            </w:r>
          </w:p>
        </w:tc>
        <w:tc>
          <w:tcPr>
            <w:tcW w:type="dxa" w:w="2613"/>
            <w:vAlign w:val="center"/>
          </w:tcPr>
          <w:p>
            <w:r>
              <w:rPr>
                <w:sz w:val="14"/>
              </w:rPr>
              <w:t>Validate range/unit/result semantics</w:t>
            </w:r>
          </w:p>
        </w:tc>
        <w:tc>
          <w:tcPr>
            <w:tcW w:type="dxa" w:w="2613"/>
            <w:vAlign w:val="center"/>
          </w:tcPr>
          <w:p>
            <w:r>
              <w:rPr>
                <w:sz w:val="14"/>
              </w:rPr>
              <w:t>Raw result</w:t>
            </w:r>
          </w:p>
        </w:tc>
        <w:tc>
          <w:tcPr>
            <w:tcW w:type="dxa" w:w="2613"/>
            <w:vAlign w:val="center"/>
          </w:tcPr>
          <w:p>
            <w:r>
              <w:rPr>
                <w:sz w:val="14"/>
              </w:rPr>
              <w:t>Validated result</w:t>
            </w:r>
          </w:p>
        </w:tc>
      </w:tr>
      <w:tr>
        <w:tc>
          <w:tcPr>
            <w:tcW w:type="dxa" w:w="2613"/>
            <w:vAlign w:val="center"/>
          </w:tcPr>
          <w:p>
            <w:r>
              <w:rPr>
                <w:sz w:val="14"/>
              </w:rPr>
              <w:t>Provenance builder</w:t>
            </w:r>
          </w:p>
        </w:tc>
        <w:tc>
          <w:tcPr>
            <w:tcW w:type="dxa" w:w="2613"/>
            <w:vAlign w:val="center"/>
          </w:tcPr>
          <w:p>
            <w:r>
              <w:rPr>
                <w:sz w:val="14"/>
              </w:rPr>
              <w:t>Attach sources, versions, timestamps</w:t>
            </w:r>
          </w:p>
        </w:tc>
        <w:tc>
          <w:tcPr>
            <w:tcW w:type="dxa" w:w="2613"/>
            <w:vAlign w:val="center"/>
          </w:tcPr>
          <w:p>
            <w:r>
              <w:rPr>
                <w:sz w:val="14"/>
              </w:rPr>
              <w:t>Result + inputs</w:t>
            </w:r>
          </w:p>
        </w:tc>
        <w:tc>
          <w:tcPr>
            <w:tcW w:type="dxa" w:w="2613"/>
            <w:vAlign w:val="center"/>
          </w:tcPr>
          <w:p>
            <w:r>
              <w:rPr>
                <w:sz w:val="14"/>
              </w:rPr>
              <w:t>Provenance</w:t>
            </w:r>
          </w:p>
        </w:tc>
      </w:tr>
      <w:tr>
        <w:tc>
          <w:tcPr>
            <w:tcW w:type="dxa" w:w="2613"/>
            <w:vAlign w:val="center"/>
          </w:tcPr>
          <w:p>
            <w:r>
              <w:rPr>
                <w:sz w:val="14"/>
              </w:rPr>
              <w:t>Audit publisher</w:t>
            </w:r>
          </w:p>
        </w:tc>
        <w:tc>
          <w:tcPr>
            <w:tcW w:type="dxa" w:w="2613"/>
            <w:vAlign w:val="center"/>
          </w:tcPr>
          <w:p>
            <w:r>
              <w:rPr>
                <w:sz w:val="14"/>
              </w:rPr>
              <w:t>Record run/calculation trace</w:t>
            </w:r>
          </w:p>
        </w:tc>
        <w:tc>
          <w:tcPr>
            <w:tcW w:type="dxa" w:w="2613"/>
            <w:vAlign w:val="center"/>
          </w:tcPr>
          <w:p>
            <w:r>
              <w:rPr>
                <w:sz w:val="14"/>
              </w:rPr>
              <w:t>Result metadata</w:t>
            </w:r>
          </w:p>
        </w:tc>
        <w:tc>
          <w:tcPr>
            <w:tcW w:type="dxa" w:w="2613"/>
            <w:vAlign w:val="center"/>
          </w:tcPr>
          <w:p>
            <w:r>
              <w:rPr>
                <w:sz w:val="14"/>
              </w:rPr>
              <w:t>Audit record</w:t>
            </w:r>
          </w:p>
        </w:tc>
      </w:tr>
      <w:tr>
        <w:tc>
          <w:tcPr>
            <w:tcW w:type="dxa" w:w="2613"/>
            <w:vAlign w:val="center"/>
          </w:tcPr>
          <w:p>
            <w:r>
              <w:rPr>
                <w:sz w:val="14"/>
              </w:rPr>
              <w:t>Tool adapter</w:t>
            </w:r>
          </w:p>
        </w:tc>
        <w:tc>
          <w:tcPr>
            <w:tcW w:type="dxa" w:w="2613"/>
            <w:vAlign w:val="center"/>
          </w:tcPr>
          <w:p>
            <w:r>
              <w:rPr>
                <w:sz w:val="14"/>
              </w:rPr>
              <w:t>Expose approved calculations to Agent</w:t>
            </w:r>
          </w:p>
        </w:tc>
        <w:tc>
          <w:tcPr>
            <w:tcW w:type="dxa" w:w="2613"/>
            <w:vAlign w:val="center"/>
          </w:tcPr>
          <w:p>
            <w:r>
              <w:rPr>
                <w:sz w:val="14"/>
              </w:rPr>
              <w:t>Tool request</w:t>
            </w:r>
          </w:p>
        </w:tc>
        <w:tc>
          <w:tcPr>
            <w:tcW w:type="dxa" w:w="2613"/>
            <w:vAlign w:val="center"/>
          </w:tcPr>
          <w:p>
            <w:r>
              <w:rPr>
                <w:sz w:val="14"/>
              </w:rPr>
              <w:t>Structured result</w:t>
            </w:r>
          </w:p>
        </w:tc>
      </w:tr>
    </w:tbl>
    <w:p/>
    <w:p>
      <w:pPr>
        <w:pStyle w:val="Heading1"/>
      </w:pPr>
      <w:r>
        <w:t>6. Runtime Execution Pipeline</w:t>
      </w:r>
    </w:p>
    <w:p>
      <w:pPr>
        <w:ind w:left="259" w:right="259"/>
      </w:pPr>
      <w:r>
        <w:rPr>
          <w:rFonts w:ascii="Consolas" w:hAnsi="Consolas"/>
          <w:sz w:val="14"/>
        </w:rPr>
        <w:t>1. Receive calculation request</w:t>
        <w:br/>
      </w:r>
      <w:r>
        <w:rPr>
          <w:rFonts w:ascii="Consolas" w:hAnsi="Consolas"/>
          <w:sz w:val="14"/>
        </w:rPr>
        <w:t>2. Validate request envelope</w:t>
        <w:br/>
      </w:r>
      <w:r>
        <w:rPr>
          <w:rFonts w:ascii="Consolas" w:hAnsi="Consolas"/>
          <w:sz w:val="14"/>
        </w:rPr>
        <w:t>3. Validate calculation ID</w:t>
        <w:br/>
      </w:r>
      <w:r>
        <w:rPr>
          <w:rFonts w:ascii="Consolas" w:hAnsi="Consolas"/>
          <w:sz w:val="14"/>
        </w:rPr>
        <w:t>4. Load calculation definition</w:t>
        <w:br/>
      </w:r>
      <w:r>
        <w:rPr>
          <w:rFonts w:ascii="Consolas" w:hAnsi="Consolas"/>
          <w:sz w:val="14"/>
        </w:rPr>
        <w:t>5. Check calculation status</w:t>
        <w:br/>
      </w:r>
      <w:r>
        <w:rPr>
          <w:rFonts w:ascii="Consolas" w:hAnsi="Consolas"/>
          <w:sz w:val="14"/>
        </w:rPr>
        <w:t>6. Resolve asset context</w:t>
        <w:br/>
      </w:r>
      <w:r>
        <w:rPr>
          <w:rFonts w:ascii="Consolas" w:hAnsi="Consolas"/>
          <w:sz w:val="14"/>
        </w:rPr>
        <w:t>7. Resolve required runtime data</w:t>
        <w:br/>
      </w:r>
      <w:r>
        <w:rPr>
          <w:rFonts w:ascii="Consolas" w:hAnsi="Consolas"/>
          <w:sz w:val="14"/>
        </w:rPr>
        <w:t>8. Resolve OEM/reference/client configuration</w:t>
        <w:br/>
      </w:r>
      <w:r>
        <w:rPr>
          <w:rFonts w:ascii="Consolas" w:hAnsi="Consolas"/>
          <w:sz w:val="14"/>
        </w:rPr>
        <w:t>9. Validate required inputs + units</w:t>
        <w:br/>
      </w:r>
      <w:r>
        <w:rPr>
          <w:rFonts w:ascii="Consolas" w:hAnsi="Consolas"/>
          <w:sz w:val="14"/>
        </w:rPr>
        <w:t>10. Validate operating/validity conditions</w:t>
        <w:br/>
      </w:r>
      <w:r>
        <w:rPr>
          <w:rFonts w:ascii="Consolas" w:hAnsi="Consolas"/>
          <w:sz w:val="14"/>
        </w:rPr>
        <w:t>11. Execute deterministic calculation</w:t>
        <w:br/>
      </w:r>
      <w:r>
        <w:rPr>
          <w:rFonts w:ascii="Consolas" w:hAnsi="Consolas"/>
          <w:sz w:val="14"/>
        </w:rPr>
        <w:t>12. Validate result</w:t>
        <w:br/>
      </w:r>
      <w:r>
        <w:rPr>
          <w:rFonts w:ascii="Consolas" w:hAnsi="Consolas"/>
          <w:sz w:val="14"/>
        </w:rPr>
        <w:t>13. Attach provenance + version</w:t>
        <w:br/>
      </w:r>
      <w:r>
        <w:rPr>
          <w:rFonts w:ascii="Consolas" w:hAnsi="Consolas"/>
          <w:sz w:val="14"/>
        </w:rPr>
        <w:t>14. Persist/audit</w:t>
        <w:br/>
      </w:r>
      <w:r>
        <w:rPr>
          <w:rFonts w:ascii="Consolas" w:hAnsi="Consolas"/>
          <w:sz w:val="14"/>
        </w:rPr>
        <w:t>15. Return structured result</w:t>
        <w:br/>
      </w:r>
    </w:p>
    <w:p/>
    <w:p>
      <w:pPr>
        <w:pStyle w:val="Heading1"/>
      </w:pPr>
      <w:r>
        <w:t>7. Calculation State Machine</w:t>
      </w:r>
    </w:p>
    <w:p>
      <w:pPr>
        <w:ind w:left="259" w:right="259"/>
      </w:pPr>
      <w:r>
        <w:rPr>
          <w:rFonts w:ascii="Consolas" w:hAnsi="Consolas"/>
          <w:sz w:val="14"/>
        </w:rPr>
        <w:t>REQUESTED</w:t>
        <w:br/>
      </w:r>
      <w:r>
        <w:rPr>
          <w:rFonts w:ascii="Consolas" w:hAnsi="Consolas"/>
          <w:sz w:val="14"/>
        </w:rPr>
        <w:t xml:space="preserve">   |</w:t>
        <w:br/>
      </w:r>
      <w:r>
        <w:rPr>
          <w:rFonts w:ascii="Consolas" w:hAnsi="Consolas"/>
          <w:sz w:val="14"/>
        </w:rPr>
        <w:t>VALIDATING</w:t>
        <w:br/>
      </w:r>
      <w:r>
        <w:rPr>
          <w:rFonts w:ascii="Consolas" w:hAnsi="Consolas"/>
          <w:sz w:val="14"/>
        </w:rPr>
        <w:t xml:space="preserve">   |</w:t>
        <w:br/>
      </w:r>
      <w:r>
        <w:rPr>
          <w:rFonts w:ascii="Consolas" w:hAnsi="Consolas"/>
          <w:sz w:val="14"/>
        </w:rPr>
        <w:t>+--+------------------------+</w:t>
        <w:br/>
      </w:r>
      <w:r>
        <w:rPr>
          <w:rFonts w:ascii="Consolas" w:hAnsi="Consolas"/>
          <w:sz w:val="14"/>
        </w:rPr>
        <w:t>|                           |</w:t>
        <w:br/>
      </w:r>
      <w:r>
        <w:rPr>
          <w:rFonts w:ascii="Consolas" w:hAnsi="Consolas"/>
          <w:sz w:val="14"/>
        </w:rPr>
        <w:t>VALID                       INVALID</w:t>
        <w:br/>
      </w:r>
      <w:r>
        <w:rPr>
          <w:rFonts w:ascii="Consolas" w:hAnsi="Consolas"/>
          <w:sz w:val="14"/>
        </w:rPr>
        <w:t>|                           |</w:t>
        <w:br/>
      </w:r>
      <w:r>
        <w:rPr>
          <w:rFonts w:ascii="Consolas" w:hAnsi="Consolas"/>
          <w:sz w:val="14"/>
        </w:rPr>
        <w:t>CHECK AUTHORITY              REJECT</w:t>
        <w:br/>
      </w:r>
      <w:r>
        <w:rPr>
          <w:rFonts w:ascii="Consolas" w:hAnsi="Consolas"/>
          <w:sz w:val="14"/>
        </w:rPr>
        <w:t>|</w:t>
        <w:br/>
      </w:r>
      <w:r>
        <w:rPr>
          <w:rFonts w:ascii="Consolas" w:hAnsi="Consolas"/>
          <w:sz w:val="14"/>
        </w:rPr>
        <w:t>CHECK INPUTS</w:t>
        <w:br/>
      </w:r>
      <w:r>
        <w:rPr>
          <w:rFonts w:ascii="Consolas" w:hAnsi="Consolas"/>
          <w:sz w:val="14"/>
        </w:rPr>
        <w:t>|</w:t>
        <w:br/>
      </w:r>
      <w:r>
        <w:rPr>
          <w:rFonts w:ascii="Consolas" w:hAnsi="Consolas"/>
          <w:sz w:val="14"/>
        </w:rPr>
        <w:t>+-------------+-------------+</w:t>
        <w:br/>
      </w:r>
      <w:r>
        <w:rPr>
          <w:rFonts w:ascii="Consolas" w:hAnsi="Consolas"/>
          <w:sz w:val="14"/>
        </w:rPr>
        <w:t>|                           |</w:t>
        <w:br/>
      </w:r>
      <w:r>
        <w:rPr>
          <w:rFonts w:ascii="Consolas" w:hAnsi="Consolas"/>
          <w:sz w:val="14"/>
        </w:rPr>
        <w:t>READY                    BLOCKED</w:t>
        <w:br/>
      </w:r>
      <w:r>
        <w:rPr>
          <w:rFonts w:ascii="Consolas" w:hAnsi="Consolas"/>
          <w:sz w:val="14"/>
        </w:rPr>
        <w:t>|                        (missing/validation)</w:t>
        <w:br/>
      </w:r>
      <w:r>
        <w:rPr>
          <w:rFonts w:ascii="Consolas" w:hAnsi="Consolas"/>
          <w:sz w:val="14"/>
        </w:rPr>
        <w:t>EXECUTE                      |</w:t>
        <w:br/>
      </w:r>
      <w:r>
        <w:rPr>
          <w:rFonts w:ascii="Consolas" w:hAnsi="Consolas"/>
          <w:sz w:val="14"/>
        </w:rPr>
        <w:t>|                            |</w:t>
        <w:br/>
      </w:r>
      <w:r>
        <w:rPr>
          <w:rFonts w:ascii="Consolas" w:hAnsi="Consolas"/>
          <w:sz w:val="14"/>
        </w:rPr>
        <w:t>VALIDATE RESULT &lt;------------+</w:t>
        <w:br/>
      </w:r>
      <w:r>
        <w:rPr>
          <w:rFonts w:ascii="Consolas" w:hAnsi="Consolas"/>
          <w:sz w:val="14"/>
        </w:rPr>
        <w:t>|</w:t>
        <w:br/>
      </w:r>
      <w:r>
        <w:rPr>
          <w:rFonts w:ascii="Consolas" w:hAnsi="Consolas"/>
          <w:sz w:val="14"/>
        </w:rPr>
        <w:t>PERSIST / AUDIT</w:t>
        <w:br/>
      </w:r>
      <w:r>
        <w:rPr>
          <w:rFonts w:ascii="Consolas" w:hAnsi="Consolas"/>
          <w:sz w:val="14"/>
        </w:rPr>
        <w:t>|</w:t>
        <w:br/>
      </w:r>
      <w:r>
        <w:rPr>
          <w:rFonts w:ascii="Consolas" w:hAnsi="Consolas"/>
          <w:sz w:val="14"/>
        </w:rPr>
        <w:t>COMPLETED</w:t>
        <w:br/>
      </w:r>
    </w:p>
    <w:p/>
    <w:p>
      <w:pPr>
        <w:pStyle w:val="Heading1"/>
      </w:pPr>
      <w:r>
        <w:t>8. Calculation Registry Semantics</w:t>
      </w:r>
    </w:p>
    <w:p>
      <w:pPr>
        <w:spacing w:after="80"/>
        <w:jc w:val="left"/>
      </w:pPr>
      <w:r>
        <w:rPr>
          <w:b w:val="0"/>
          <w:i w:val="0"/>
        </w:rPr>
        <w:t>The calculation registry is the central execution configuration. Its header explicitly states that the service must treat it as authoritative configuration and must not regenerate formulas at runtime. Calculations marked requires_validation must not execute until the flagged issue is resolved. [engineering_calculation_registry.yaml, lines 9–13]</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Registry field</w:t>
            </w:r>
          </w:p>
        </w:tc>
        <w:tc>
          <w:tcPr>
            <w:tcW w:type="dxa" w:w="5227"/>
            <w:shd w:fill="D9EAF7"/>
          </w:tcPr>
          <w:p>
            <w:r>
              <w:rPr>
                <w:b/>
                <w:sz w:val="14"/>
              </w:rPr>
              <w:t>Meaning</w:t>
            </w:r>
          </w:p>
        </w:tc>
      </w:tr>
      <w:tr>
        <w:tc>
          <w:tcPr>
            <w:tcW w:type="dxa" w:w="5227"/>
            <w:vAlign w:val="center"/>
          </w:tcPr>
          <w:p>
            <w:r>
              <w:rPr>
                <w:sz w:val="14"/>
              </w:rPr>
              <w:t>id</w:t>
            </w:r>
          </w:p>
        </w:tc>
        <w:tc>
          <w:tcPr>
            <w:tcW w:type="dxa" w:w="5227"/>
            <w:vAlign w:val="center"/>
          </w:tcPr>
          <w:p>
            <w:r>
              <w:rPr>
                <w:sz w:val="14"/>
              </w:rPr>
              <w:t>Stable calculation identifier</w:t>
            </w:r>
          </w:p>
        </w:tc>
      </w:tr>
      <w:tr>
        <w:tc>
          <w:tcPr>
            <w:tcW w:type="dxa" w:w="5227"/>
            <w:vAlign w:val="center"/>
          </w:tcPr>
          <w:p>
            <w:r>
              <w:rPr>
                <w:sz w:val="14"/>
              </w:rPr>
              <w:t>name</w:t>
            </w:r>
          </w:p>
        </w:tc>
        <w:tc>
          <w:tcPr>
            <w:tcW w:type="dxa" w:w="5227"/>
            <w:vAlign w:val="center"/>
          </w:tcPr>
          <w:p>
            <w:r>
              <w:rPr>
                <w:sz w:val="14"/>
              </w:rPr>
              <w:t>Human-readable calculation</w:t>
            </w:r>
          </w:p>
        </w:tc>
      </w:tr>
      <w:tr>
        <w:tc>
          <w:tcPr>
            <w:tcW w:type="dxa" w:w="5227"/>
            <w:vAlign w:val="center"/>
          </w:tcPr>
          <w:p>
            <w:r>
              <w:rPr>
                <w:sz w:val="14"/>
              </w:rPr>
              <w:t>domain</w:t>
            </w:r>
          </w:p>
        </w:tc>
        <w:tc>
          <w:tcPr>
            <w:tcW w:type="dxa" w:w="5227"/>
            <w:vAlign w:val="center"/>
          </w:tcPr>
          <w:p>
            <w:r>
              <w:rPr>
                <w:sz w:val="14"/>
              </w:rPr>
              <w:t>Engineering domain</w:t>
            </w:r>
          </w:p>
        </w:tc>
      </w:tr>
      <w:tr>
        <w:tc>
          <w:tcPr>
            <w:tcW w:type="dxa" w:w="5227"/>
            <w:vAlign w:val="center"/>
          </w:tcPr>
          <w:p>
            <w:r>
              <w:rPr>
                <w:sz w:val="14"/>
              </w:rPr>
              <w:t>formula</w:t>
            </w:r>
          </w:p>
        </w:tc>
        <w:tc>
          <w:tcPr>
            <w:tcW w:type="dxa" w:w="5227"/>
            <w:vAlign w:val="center"/>
          </w:tcPr>
          <w:p>
            <w:r>
              <w:rPr>
                <w:sz w:val="14"/>
              </w:rPr>
              <w:t>Deterministic implementation definition</w:t>
            </w:r>
          </w:p>
        </w:tc>
      </w:tr>
      <w:tr>
        <w:tc>
          <w:tcPr>
            <w:tcW w:type="dxa" w:w="5227"/>
            <w:vAlign w:val="center"/>
          </w:tcPr>
          <w:p>
            <w:r>
              <w:rPr>
                <w:sz w:val="14"/>
              </w:rPr>
              <w:t>required_inputs</w:t>
            </w:r>
          </w:p>
        </w:tc>
        <w:tc>
          <w:tcPr>
            <w:tcW w:type="dxa" w:w="5227"/>
            <w:vAlign w:val="center"/>
          </w:tcPr>
          <w:p>
            <w:r>
              <w:rPr>
                <w:sz w:val="14"/>
              </w:rPr>
              <w:t>Mandatory runtime/asset/reference fields</w:t>
            </w:r>
          </w:p>
        </w:tc>
      </w:tr>
      <w:tr>
        <w:tc>
          <w:tcPr>
            <w:tcW w:type="dxa" w:w="5227"/>
            <w:vAlign w:val="center"/>
          </w:tcPr>
          <w:p>
            <w:r>
              <w:rPr>
                <w:sz w:val="14"/>
              </w:rPr>
              <w:t>optional_inputs</w:t>
            </w:r>
          </w:p>
        </w:tc>
        <w:tc>
          <w:tcPr>
            <w:tcW w:type="dxa" w:w="5227"/>
            <w:vAlign w:val="center"/>
          </w:tcPr>
          <w:p>
            <w:r>
              <w:rPr>
                <w:sz w:val="14"/>
              </w:rPr>
              <w:t>Optional refinements</w:t>
            </w:r>
          </w:p>
        </w:tc>
      </w:tr>
      <w:tr>
        <w:tc>
          <w:tcPr>
            <w:tcW w:type="dxa" w:w="5227"/>
            <w:vAlign w:val="center"/>
          </w:tcPr>
          <w:p>
            <w:r>
              <w:rPr>
                <w:sz w:val="14"/>
              </w:rPr>
              <w:t>units</w:t>
            </w:r>
          </w:p>
        </w:tc>
        <w:tc>
          <w:tcPr>
            <w:tcW w:type="dxa" w:w="5227"/>
            <w:vAlign w:val="center"/>
          </w:tcPr>
          <w:p>
            <w:r>
              <w:rPr>
                <w:sz w:val="14"/>
              </w:rPr>
              <w:t>Input/output units</w:t>
            </w:r>
          </w:p>
        </w:tc>
      </w:tr>
      <w:tr>
        <w:tc>
          <w:tcPr>
            <w:tcW w:type="dxa" w:w="5227"/>
            <w:vAlign w:val="center"/>
          </w:tcPr>
          <w:p>
            <w:r>
              <w:rPr>
                <w:sz w:val="14"/>
              </w:rPr>
              <w:t>validity_conditions</w:t>
            </w:r>
          </w:p>
        </w:tc>
        <w:tc>
          <w:tcPr>
            <w:tcW w:type="dxa" w:w="5227"/>
            <w:vAlign w:val="center"/>
          </w:tcPr>
          <w:p>
            <w:r>
              <w:rPr>
                <w:sz w:val="14"/>
              </w:rPr>
              <w:t>Preconditions</w:t>
            </w:r>
          </w:p>
        </w:tc>
      </w:tr>
      <w:tr>
        <w:tc>
          <w:tcPr>
            <w:tcW w:type="dxa" w:w="5227"/>
            <w:vAlign w:val="center"/>
          </w:tcPr>
          <w:p>
            <w:r>
              <w:rPr>
                <w:sz w:val="14"/>
              </w:rPr>
              <w:t>operating_range</w:t>
            </w:r>
          </w:p>
        </w:tc>
        <w:tc>
          <w:tcPr>
            <w:tcW w:type="dxa" w:w="5227"/>
            <w:vAlign w:val="center"/>
          </w:tcPr>
          <w:p>
            <w:r>
              <w:rPr>
                <w:sz w:val="14"/>
              </w:rPr>
              <w:t>Valid domain</w:t>
            </w:r>
          </w:p>
        </w:tc>
      </w:tr>
      <w:tr>
        <w:tc>
          <w:tcPr>
            <w:tcW w:type="dxa" w:w="5227"/>
            <w:vAlign w:val="center"/>
          </w:tcPr>
          <w:p>
            <w:r>
              <w:rPr>
                <w:sz w:val="14"/>
              </w:rPr>
              <w:t>output</w:t>
            </w:r>
          </w:p>
        </w:tc>
        <w:tc>
          <w:tcPr>
            <w:tcW w:type="dxa" w:w="5227"/>
            <w:vAlign w:val="center"/>
          </w:tcPr>
          <w:p>
            <w:r>
              <w:rPr>
                <w:sz w:val="14"/>
              </w:rPr>
              <w:t>Named result fields</w:t>
            </w:r>
          </w:p>
        </w:tc>
      </w:tr>
      <w:tr>
        <w:tc>
          <w:tcPr>
            <w:tcW w:type="dxa" w:w="5227"/>
            <w:vAlign w:val="center"/>
          </w:tcPr>
          <w:p>
            <w:r>
              <w:rPr>
                <w:sz w:val="14"/>
              </w:rPr>
              <w:t>reference</w:t>
            </w:r>
          </w:p>
        </w:tc>
        <w:tc>
          <w:tcPr>
            <w:tcW w:type="dxa" w:w="5227"/>
            <w:vAlign w:val="center"/>
          </w:tcPr>
          <w:p>
            <w:r>
              <w:rPr>
                <w:sz w:val="14"/>
              </w:rPr>
              <w:t>Authority basis</w:t>
            </w:r>
          </w:p>
        </w:tc>
      </w:tr>
      <w:tr>
        <w:tc>
          <w:tcPr>
            <w:tcW w:type="dxa" w:w="5227"/>
            <w:vAlign w:val="center"/>
          </w:tcPr>
          <w:p>
            <w:r>
              <w:rPr>
                <w:sz w:val="14"/>
              </w:rPr>
              <w:t>OEM dependency</w:t>
            </w:r>
          </w:p>
        </w:tc>
        <w:tc>
          <w:tcPr>
            <w:tcW w:type="dxa" w:w="5227"/>
            <w:vAlign w:val="center"/>
          </w:tcPr>
          <w:p>
            <w:r>
              <w:rPr>
                <w:sz w:val="14"/>
              </w:rPr>
              <w:t>Manufacturer-specific dependency</w:t>
            </w:r>
          </w:p>
        </w:tc>
      </w:tr>
      <w:tr>
        <w:tc>
          <w:tcPr>
            <w:tcW w:type="dxa" w:w="5227"/>
            <w:vAlign w:val="center"/>
          </w:tcPr>
          <w:p>
            <w:r>
              <w:rPr>
                <w:sz w:val="14"/>
              </w:rPr>
              <w:t>asset dependency</w:t>
            </w:r>
          </w:p>
        </w:tc>
        <w:tc>
          <w:tcPr>
            <w:tcW w:type="dxa" w:w="5227"/>
            <w:vAlign w:val="center"/>
          </w:tcPr>
          <w:p>
            <w:r>
              <w:rPr>
                <w:sz w:val="14"/>
              </w:rPr>
              <w:t>Asset-specific dependency</w:t>
            </w:r>
          </w:p>
        </w:tc>
      </w:tr>
      <w:tr>
        <w:tc>
          <w:tcPr>
            <w:tcW w:type="dxa" w:w="5227"/>
            <w:vAlign w:val="center"/>
          </w:tcPr>
          <w:p>
            <w:r>
              <w:rPr>
                <w:sz w:val="14"/>
              </w:rPr>
              <w:t>failure_condition</w:t>
            </w:r>
          </w:p>
        </w:tc>
        <w:tc>
          <w:tcPr>
            <w:tcW w:type="dxa" w:w="5227"/>
            <w:vAlign w:val="center"/>
          </w:tcPr>
          <w:p>
            <w:r>
              <w:rPr>
                <w:sz w:val="14"/>
              </w:rPr>
              <w:t>Fail-closed behavior</w:t>
            </w:r>
          </w:p>
        </w:tc>
      </w:tr>
      <w:tr>
        <w:tc>
          <w:tcPr>
            <w:tcW w:type="dxa" w:w="5227"/>
            <w:vAlign w:val="center"/>
          </w:tcPr>
          <w:p>
            <w:r>
              <w:rPr>
                <w:sz w:val="14"/>
              </w:rPr>
              <w:t>status</w:t>
            </w:r>
          </w:p>
        </w:tc>
        <w:tc>
          <w:tcPr>
            <w:tcW w:type="dxa" w:w="5227"/>
            <w:vAlign w:val="center"/>
          </w:tcPr>
          <w:p>
            <w:r>
              <w:rPr>
                <w:sz w:val="14"/>
              </w:rPr>
              <w:t>ready / requires_oem_data / requires_validation / requires_configuration</w:t>
            </w:r>
          </w:p>
        </w:tc>
      </w:tr>
    </w:tbl>
    <w:p/>
    <w:p>
      <w:pPr>
        <w:pStyle w:val="Heading1"/>
      </w:pPr>
      <w:r>
        <w:t>9. Calculation Families</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4"/>
              </w:rPr>
              <w:t>Family</w:t>
            </w:r>
          </w:p>
        </w:tc>
        <w:tc>
          <w:tcPr>
            <w:tcW w:type="dxa" w:w="3485"/>
            <w:shd w:fill="D9EAF7"/>
          </w:tcPr>
          <w:p>
            <w:r>
              <w:rPr>
                <w:b/>
                <w:sz w:val="14"/>
              </w:rPr>
              <w:t>Representative calculations</w:t>
            </w:r>
          </w:p>
        </w:tc>
        <w:tc>
          <w:tcPr>
            <w:tcW w:type="dxa" w:w="3485"/>
            <w:shd w:fill="D9EAF7"/>
          </w:tcPr>
          <w:p>
            <w:r>
              <w:rPr>
                <w:b/>
                <w:sz w:val="14"/>
              </w:rPr>
              <w:t>Implementation posture</w:t>
            </w:r>
          </w:p>
        </w:tc>
      </w:tr>
      <w:tr>
        <w:tc>
          <w:tcPr>
            <w:tcW w:type="dxa" w:w="3485"/>
            <w:vAlign w:val="center"/>
          </w:tcPr>
          <w:p>
            <w:r>
              <w:rPr>
                <w:sz w:val="14"/>
              </w:rPr>
              <w:t>A — Fundamental / physics</w:t>
            </w:r>
          </w:p>
        </w:tc>
        <w:tc>
          <w:tcPr>
            <w:tcW w:type="dxa" w:w="3485"/>
            <w:vAlign w:val="center"/>
          </w:tcPr>
          <w:p>
            <w:r>
              <w:rPr>
                <w:sz w:val="14"/>
              </w:rPr>
              <w:t>A1 Head↔Pressure, A2 Hydraulic Power, A4 Affinity Laws, A5 %BEP</w:t>
            </w:r>
          </w:p>
        </w:tc>
        <w:tc>
          <w:tcPr>
            <w:tcW w:type="dxa" w:w="3485"/>
            <w:vAlign w:val="center"/>
          </w:tcPr>
          <w:p>
            <w:r>
              <w:rPr>
                <w:sz w:val="14"/>
              </w:rPr>
              <w:t>Start here; deterministic math, subject to input validity.</w:t>
            </w:r>
          </w:p>
        </w:tc>
      </w:tr>
      <w:tr>
        <w:tc>
          <w:tcPr>
            <w:tcW w:type="dxa" w:w="3485"/>
            <w:vAlign w:val="center"/>
          </w:tcPr>
          <w:p>
            <w:r>
              <w:rPr>
                <w:sz w:val="14"/>
              </w:rPr>
              <w:t>B — OEM data dependent</w:t>
            </w:r>
          </w:p>
        </w:tc>
        <w:tc>
          <w:tcPr>
            <w:tcW w:type="dxa" w:w="3485"/>
            <w:vAlign w:val="center"/>
          </w:tcPr>
          <w:p>
            <w:r>
              <w:rPr>
                <w:sz w:val="14"/>
              </w:rPr>
              <w:t>B1 Pump Curve, B2 Motor Lookup, B3 Cable Voltage Drop</w:t>
            </w:r>
          </w:p>
        </w:tc>
        <w:tc>
          <w:tcPr>
            <w:tcW w:type="dxa" w:w="3485"/>
            <w:vAlign w:val="center"/>
          </w:tcPr>
          <w:p>
            <w:r>
              <w:rPr>
                <w:sz w:val="14"/>
              </w:rPr>
              <w:t>Implement framework + real OEM datasets; block until matching data is loaded.</w:t>
            </w:r>
          </w:p>
        </w:tc>
      </w:tr>
      <w:tr>
        <w:tc>
          <w:tcPr>
            <w:tcW w:type="dxa" w:w="3485"/>
            <w:vAlign w:val="center"/>
          </w:tcPr>
          <w:p>
            <w:r>
              <w:rPr>
                <w:sz w:val="14"/>
              </w:rPr>
              <w:t>C — Asset dependent</w:t>
            </w:r>
          </w:p>
        </w:tc>
        <w:tc>
          <w:tcPr>
            <w:tcW w:type="dxa" w:w="3485"/>
            <w:vAlign w:val="center"/>
          </w:tcPr>
          <w:p>
            <w:r>
              <w:rPr>
                <w:sz w:val="14"/>
              </w:rPr>
              <w:t>C1 System Operating Point, C2 Motor Load %</w:t>
            </w:r>
          </w:p>
        </w:tc>
        <w:tc>
          <w:tcPr>
            <w:tcW w:type="dxa" w:w="3485"/>
            <w:vAlign w:val="center"/>
          </w:tcPr>
          <w:p>
            <w:r>
              <w:rPr>
                <w:sz w:val="14"/>
              </w:rPr>
              <w:t>C2 is straightforward; C1 needs client/engineering-selected IPR and well/PVT inputs.</w:t>
            </w:r>
          </w:p>
        </w:tc>
      </w:tr>
      <w:tr>
        <w:tc>
          <w:tcPr>
            <w:tcW w:type="dxa" w:w="3485"/>
            <w:vAlign w:val="center"/>
          </w:tcPr>
          <w:p>
            <w:r>
              <w:rPr>
                <w:sz w:val="14"/>
              </w:rPr>
              <w:t>D — Fluid/PVT</w:t>
            </w:r>
          </w:p>
        </w:tc>
        <w:tc>
          <w:tcPr>
            <w:tcW w:type="dxa" w:w="3485"/>
            <w:vAlign w:val="center"/>
          </w:tcPr>
          <w:p>
            <w:r>
              <w:rPr>
                <w:sz w:val="14"/>
              </w:rPr>
              <w:t>D1 Viscosity, D2 Free Gas, D3 Gas Derating, D4 Mixture SG</w:t>
            </w:r>
          </w:p>
        </w:tc>
        <w:tc>
          <w:tcPr>
            <w:tcW w:type="dxa" w:w="3485"/>
            <w:vAlign w:val="center"/>
          </w:tcPr>
          <w:p>
            <w:r>
              <w:rPr>
                <w:sz w:val="14"/>
              </w:rPr>
              <w:t>D4 can start; D1–D3 have validation/configuration dependencies.</w:t>
            </w:r>
          </w:p>
        </w:tc>
      </w:tr>
      <w:tr>
        <w:tc>
          <w:tcPr>
            <w:tcW w:type="dxa" w:w="3485"/>
            <w:vAlign w:val="center"/>
          </w:tcPr>
          <w:p>
            <w:r>
              <w:rPr>
                <w:sz w:val="14"/>
              </w:rPr>
              <w:t>E — Client/OEM limits</w:t>
            </w:r>
          </w:p>
        </w:tc>
        <w:tc>
          <w:tcPr>
            <w:tcW w:type="dxa" w:w="3485"/>
            <w:vAlign w:val="center"/>
          </w:tcPr>
          <w:p>
            <w:r>
              <w:rPr>
                <w:sz w:val="14"/>
              </w:rPr>
              <w:t>E1 ROR, E2 Vibration, E3 Motor Temperature</w:t>
            </w:r>
          </w:p>
        </w:tc>
        <w:tc>
          <w:tcPr>
            <w:tcW w:type="dxa" w:w="3485"/>
            <w:vAlign w:val="center"/>
          </w:tcPr>
          <w:p>
            <w:r>
              <w:rPr>
                <w:sz w:val="14"/>
              </w:rPr>
              <w:t>Framework only until approved numeric limits are configured.</w:t>
            </w:r>
          </w:p>
        </w:tc>
      </w:tr>
      <w:tr>
        <w:tc>
          <w:tcPr>
            <w:tcW w:type="dxa" w:w="3485"/>
            <w:vAlign w:val="center"/>
          </w:tcPr>
          <w:p>
            <w:r>
              <w:rPr>
                <w:sz w:val="14"/>
              </w:rPr>
              <w:t>F — Diagnostic features</w:t>
            </w:r>
          </w:p>
        </w:tc>
        <w:tc>
          <w:tcPr>
            <w:tcW w:type="dxa" w:w="3485"/>
            <w:vAlign w:val="center"/>
          </w:tcPr>
          <w:p>
            <w:r>
              <w:rPr>
                <w:sz w:val="14"/>
              </w:rPr>
              <w:t>F1 Current Trend, F2 Cyclic Detection, F3 Load Flag</w:t>
            </w:r>
          </w:p>
        </w:tc>
        <w:tc>
          <w:tcPr>
            <w:tcW w:type="dxa" w:w="3485"/>
            <w:vAlign w:val="center"/>
          </w:tcPr>
          <w:p>
            <w:r>
              <w:rPr>
                <w:sz w:val="14"/>
              </w:rPr>
              <w:t>Statistical/config-driven; not universal standards.</w:t>
            </w:r>
          </w:p>
        </w:tc>
      </w:tr>
      <w:tr>
        <w:tc>
          <w:tcPr>
            <w:tcW w:type="dxa" w:w="3485"/>
            <w:vAlign w:val="center"/>
          </w:tcPr>
          <w:p>
            <w:r>
              <w:rPr>
                <w:sz w:val="14"/>
              </w:rPr>
              <w:t>G — Reliability</w:t>
            </w:r>
          </w:p>
        </w:tc>
        <w:tc>
          <w:tcPr>
            <w:tcW w:type="dxa" w:w="3485"/>
            <w:vAlign w:val="center"/>
          </w:tcPr>
          <w:p>
            <w:r>
              <w:rPr>
                <w:sz w:val="14"/>
              </w:rPr>
              <w:t>G1 Failure Classification, G2 MTBF, G3 MTTR</w:t>
            </w:r>
          </w:p>
        </w:tc>
        <w:tc>
          <w:tcPr>
            <w:tcW w:type="dxa" w:w="3485"/>
            <w:vAlign w:val="center"/>
          </w:tcPr>
          <w:p>
            <w:r>
              <w:rPr>
                <w:sz w:val="14"/>
              </w:rPr>
              <w:t>Useful later; G1 requires teardown taxonomy/report structure.</w:t>
            </w:r>
          </w:p>
        </w:tc>
      </w:tr>
    </w:tbl>
    <w:p/>
    <w:p>
      <w:pPr>
        <w:pStyle w:val="Heading1"/>
      </w:pPr>
      <w:r>
        <w:t>10. Recommended MVP Calculation Set</w:t>
      </w:r>
    </w:p>
    <w:p>
      <w:pPr>
        <w:spacing w:after="80"/>
        <w:jc w:val="left"/>
      </w:pPr>
      <w:r>
        <w:rPr>
          <w:b w:val="0"/>
          <w:i w:val="0"/>
        </w:rPr>
        <w:t>For the first Agentic demo, do not wait for the complete engineering catalogue. Implement a small, defensible set:</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4"/>
              </w:rPr>
              <w:t>Priority</w:t>
            </w:r>
          </w:p>
        </w:tc>
        <w:tc>
          <w:tcPr>
            <w:tcW w:type="dxa" w:w="3485"/>
            <w:shd w:fill="D9EAF7"/>
          </w:tcPr>
          <w:p>
            <w:r>
              <w:rPr>
                <w:b/>
                <w:sz w:val="14"/>
              </w:rPr>
              <w:t>Calculation</w:t>
            </w:r>
          </w:p>
        </w:tc>
        <w:tc>
          <w:tcPr>
            <w:tcW w:type="dxa" w:w="3485"/>
            <w:shd w:fill="D9EAF7"/>
          </w:tcPr>
          <w:p>
            <w:r>
              <w:rPr>
                <w:b/>
                <w:sz w:val="14"/>
              </w:rPr>
              <w:t>Why it matters</w:t>
            </w:r>
          </w:p>
        </w:tc>
      </w:tr>
      <w:tr>
        <w:tc>
          <w:tcPr>
            <w:tcW w:type="dxa" w:w="3485"/>
            <w:vAlign w:val="center"/>
          </w:tcPr>
          <w:p>
            <w:r>
              <w:rPr>
                <w:sz w:val="14"/>
              </w:rPr>
              <w:t>P0</w:t>
            </w:r>
          </w:p>
        </w:tc>
        <w:tc>
          <w:tcPr>
            <w:tcW w:type="dxa" w:w="3485"/>
            <w:vAlign w:val="center"/>
          </w:tcPr>
          <w:p>
            <w:r>
              <w:rPr>
                <w:sz w:val="14"/>
              </w:rPr>
              <w:t>A1 — Pressure ↔ Head</w:t>
            </w:r>
          </w:p>
        </w:tc>
        <w:tc>
          <w:tcPr>
            <w:tcW w:type="dxa" w:w="3485"/>
            <w:vAlign w:val="center"/>
          </w:tcPr>
          <w:p>
            <w:r>
              <w:rPr>
                <w:sz w:val="14"/>
              </w:rPr>
              <w:t>Converts field pressure difference to pump-curve head.</w:t>
            </w:r>
          </w:p>
        </w:tc>
      </w:tr>
      <w:tr>
        <w:tc>
          <w:tcPr>
            <w:tcW w:type="dxa" w:w="3485"/>
            <w:vAlign w:val="center"/>
          </w:tcPr>
          <w:p>
            <w:r>
              <w:rPr>
                <w:sz w:val="14"/>
              </w:rPr>
              <w:t>P0</w:t>
            </w:r>
          </w:p>
        </w:tc>
        <w:tc>
          <w:tcPr>
            <w:tcW w:type="dxa" w:w="3485"/>
            <w:vAlign w:val="center"/>
          </w:tcPr>
          <w:p>
            <w:r>
              <w:rPr>
                <w:sz w:val="14"/>
              </w:rPr>
              <w:t>A2 — Hydraulic Power</w:t>
            </w:r>
          </w:p>
        </w:tc>
        <w:tc>
          <w:tcPr>
            <w:tcW w:type="dxa" w:w="3485"/>
            <w:vAlign w:val="center"/>
          </w:tcPr>
          <w:p>
            <w:r>
              <w:rPr>
                <w:sz w:val="14"/>
              </w:rPr>
              <w:t>Converts flow/head/SG into deterministic hydraulic power.</w:t>
            </w:r>
          </w:p>
        </w:tc>
      </w:tr>
      <w:tr>
        <w:tc>
          <w:tcPr>
            <w:tcW w:type="dxa" w:w="3485"/>
            <w:vAlign w:val="center"/>
          </w:tcPr>
          <w:p>
            <w:r>
              <w:rPr>
                <w:sz w:val="14"/>
              </w:rPr>
              <w:t>P0</w:t>
            </w:r>
          </w:p>
        </w:tc>
        <w:tc>
          <w:tcPr>
            <w:tcW w:type="dxa" w:w="3485"/>
            <w:vAlign w:val="center"/>
          </w:tcPr>
          <w:p>
            <w:r>
              <w:rPr>
                <w:sz w:val="14"/>
              </w:rPr>
              <w:t>A4 — Frequency/Speed Correction</w:t>
            </w:r>
          </w:p>
        </w:tc>
        <w:tc>
          <w:tcPr>
            <w:tcW w:type="dxa" w:w="3485"/>
            <w:vAlign w:val="center"/>
          </w:tcPr>
          <w:p>
            <w:r>
              <w:rPr>
                <w:sz w:val="14"/>
              </w:rPr>
              <w:t>Allows base OEM curve values to be related to operating frequency.</w:t>
            </w:r>
          </w:p>
        </w:tc>
      </w:tr>
      <w:tr>
        <w:tc>
          <w:tcPr>
            <w:tcW w:type="dxa" w:w="3485"/>
            <w:vAlign w:val="center"/>
          </w:tcPr>
          <w:p>
            <w:r>
              <w:rPr>
                <w:sz w:val="14"/>
              </w:rPr>
              <w:t>P0</w:t>
            </w:r>
          </w:p>
        </w:tc>
        <w:tc>
          <w:tcPr>
            <w:tcW w:type="dxa" w:w="3485"/>
            <w:vAlign w:val="center"/>
          </w:tcPr>
          <w:p>
            <w:r>
              <w:rPr>
                <w:sz w:val="14"/>
              </w:rPr>
              <w:t>A5 — %BEP</w:t>
            </w:r>
          </w:p>
        </w:tc>
        <w:tc>
          <w:tcPr>
            <w:tcW w:type="dxa" w:w="3485"/>
            <w:vAlign w:val="center"/>
          </w:tcPr>
          <w:p>
            <w:r>
              <w:rPr>
                <w:sz w:val="14"/>
              </w:rPr>
              <w:t>Provides a simple operating-point health/performance metric.</w:t>
            </w:r>
          </w:p>
        </w:tc>
      </w:tr>
      <w:tr>
        <w:tc>
          <w:tcPr>
            <w:tcW w:type="dxa" w:w="3485"/>
            <w:vAlign w:val="center"/>
          </w:tcPr>
          <w:p>
            <w:r>
              <w:rPr>
                <w:sz w:val="14"/>
              </w:rPr>
              <w:t>P0</w:t>
            </w:r>
          </w:p>
        </w:tc>
        <w:tc>
          <w:tcPr>
            <w:tcW w:type="dxa" w:w="3485"/>
            <w:vAlign w:val="center"/>
          </w:tcPr>
          <w:p>
            <w:r>
              <w:rPr>
                <w:sz w:val="14"/>
              </w:rPr>
              <w:t>C2 — Motor Load %</w:t>
            </w:r>
          </w:p>
        </w:tc>
        <w:tc>
          <w:tcPr>
            <w:tcW w:type="dxa" w:w="3485"/>
            <w:vAlign w:val="center"/>
          </w:tcPr>
          <w:p>
            <w:r>
              <w:rPr>
                <w:sz w:val="14"/>
              </w:rPr>
              <w:t>Uses measured current against exact installed motor rating.</w:t>
            </w:r>
          </w:p>
        </w:tc>
      </w:tr>
      <w:tr>
        <w:tc>
          <w:tcPr>
            <w:tcW w:type="dxa" w:w="3485"/>
            <w:vAlign w:val="center"/>
          </w:tcPr>
          <w:p>
            <w:r>
              <w:rPr>
                <w:sz w:val="14"/>
              </w:rPr>
              <w:t>P0</w:t>
            </w:r>
          </w:p>
        </w:tc>
        <w:tc>
          <w:tcPr>
            <w:tcW w:type="dxa" w:w="3485"/>
            <w:vAlign w:val="center"/>
          </w:tcPr>
          <w:p>
            <w:r>
              <w:rPr>
                <w:sz w:val="14"/>
              </w:rPr>
              <w:t>F1 — Current Trend Slope</w:t>
            </w:r>
          </w:p>
        </w:tc>
        <w:tc>
          <w:tcPr>
            <w:tcW w:type="dxa" w:w="3485"/>
            <w:vAlign w:val="center"/>
          </w:tcPr>
          <w:p>
            <w:r>
              <w:rPr>
                <w:sz w:val="14"/>
              </w:rPr>
              <w:t>Adds objective trend evidence without inventing physical models.</w:t>
            </w:r>
          </w:p>
        </w:tc>
      </w:tr>
      <w:tr>
        <w:tc>
          <w:tcPr>
            <w:tcW w:type="dxa" w:w="3485"/>
            <w:vAlign w:val="center"/>
          </w:tcPr>
          <w:p>
            <w:r>
              <w:rPr>
                <w:sz w:val="14"/>
              </w:rPr>
              <w:t>P1</w:t>
            </w:r>
          </w:p>
        </w:tc>
        <w:tc>
          <w:tcPr>
            <w:tcW w:type="dxa" w:w="3485"/>
            <w:vAlign w:val="center"/>
          </w:tcPr>
          <w:p>
            <w:r>
              <w:rPr>
                <w:sz w:val="14"/>
              </w:rPr>
              <w:t>B1 — Pump Curve Lookup</w:t>
            </w:r>
          </w:p>
        </w:tc>
        <w:tc>
          <w:tcPr>
            <w:tcW w:type="dxa" w:w="3485"/>
            <w:vAlign w:val="center"/>
          </w:tcPr>
          <w:p>
            <w:r>
              <w:rPr>
                <w:sz w:val="14"/>
              </w:rPr>
              <w:t>High-value but blocked until exact OEM curve is loaded.</w:t>
            </w:r>
          </w:p>
        </w:tc>
      </w:tr>
      <w:tr>
        <w:tc>
          <w:tcPr>
            <w:tcW w:type="dxa" w:w="3485"/>
            <w:vAlign w:val="center"/>
          </w:tcPr>
          <w:p>
            <w:r>
              <w:rPr>
                <w:sz w:val="14"/>
              </w:rPr>
              <w:t>P1</w:t>
            </w:r>
          </w:p>
        </w:tc>
        <w:tc>
          <w:tcPr>
            <w:tcW w:type="dxa" w:w="3485"/>
            <w:vAlign w:val="center"/>
          </w:tcPr>
          <w:p>
            <w:r>
              <w:rPr>
                <w:sz w:val="14"/>
              </w:rPr>
              <w:t>E1 — ROR Check</w:t>
            </w:r>
          </w:p>
        </w:tc>
        <w:tc>
          <w:tcPr>
            <w:tcW w:type="dxa" w:w="3485"/>
            <w:vAlign w:val="center"/>
          </w:tcPr>
          <w:p>
            <w:r>
              <w:rPr>
                <w:sz w:val="14"/>
              </w:rPr>
              <w:t>High-value for applicability/operating-envelope questions once approved limits exist.</w:t>
            </w:r>
          </w:p>
        </w:tc>
      </w:tr>
    </w:tbl>
    <w:p/>
    <w:p>
      <w:pPr>
        <w:spacing w:after="80"/>
        <w:jc w:val="left"/>
      </w:pPr>
      <w:r>
        <w:rPr>
          <w:b w:val="0"/>
          <w:i w:val="0"/>
        </w:rPr>
        <w:t>The registry already marks A1, A2, A4, A5, C2 and G2 as ready, while B1/B2/B3 and several E/D/C calculations require OEM/client/validation inputs. [engineering_calculation_registry.yaml]</w:t>
      </w:r>
    </w:p>
    <w:p>
      <w:pPr>
        <w:pStyle w:val="Heading1"/>
      </w:pPr>
      <w:r>
        <w:t>11. Input Architecture</w:t>
      </w:r>
    </w:p>
    <w:p>
      <w:pPr>
        <w:ind w:left="259" w:right="259"/>
      </w:pPr>
      <w:r>
        <w:rPr>
          <w:rFonts w:ascii="Consolas" w:hAnsi="Consolas"/>
          <w:sz w:val="14"/>
        </w:rPr>
        <w:t>Calculation Request</w:t>
        <w:br/>
      </w:r>
      <w:r>
        <w:rPr>
          <w:rFonts w:ascii="Consolas" w:hAnsi="Consolas"/>
          <w:sz w:val="14"/>
        </w:rPr>
        <w:t xml:space="preserve">   |</w:t>
        <w:br/>
      </w:r>
      <w:r>
        <w:rPr>
          <w:rFonts w:ascii="Consolas" w:hAnsi="Consolas"/>
          <w:sz w:val="14"/>
        </w:rPr>
        <w:t xml:space="preserve">   +--&gt; asset_identity</w:t>
        <w:br/>
      </w:r>
      <w:r>
        <w:rPr>
          <w:rFonts w:ascii="Consolas" w:hAnsi="Consolas"/>
          <w:sz w:val="14"/>
        </w:rPr>
        <w:t xml:space="preserve">   |</w:t>
        <w:br/>
      </w:r>
      <w:r>
        <w:rPr>
          <w:rFonts w:ascii="Consolas" w:hAnsi="Consolas"/>
          <w:sz w:val="14"/>
        </w:rPr>
        <w:t xml:space="preserve">   +--&gt; real_time_or_periodic_data</w:t>
        <w:br/>
      </w:r>
      <w:r>
        <w:rPr>
          <w:rFonts w:ascii="Consolas" w:hAnsi="Consolas"/>
          <w:sz w:val="14"/>
        </w:rPr>
        <w:t xml:space="preserve">   |</w:t>
        <w:br/>
      </w:r>
      <w:r>
        <w:rPr>
          <w:rFonts w:ascii="Consolas" w:hAnsi="Consolas"/>
          <w:sz w:val="14"/>
        </w:rPr>
        <w:t xml:space="preserve">   +--&gt; fluid_data</w:t>
        <w:br/>
      </w:r>
      <w:r>
        <w:rPr>
          <w:rFonts w:ascii="Consolas" w:hAnsi="Consolas"/>
          <w:sz w:val="14"/>
        </w:rPr>
        <w:t xml:space="preserve">   |</w:t>
        <w:br/>
      </w:r>
      <w:r>
        <w:rPr>
          <w:rFonts w:ascii="Consolas" w:hAnsi="Consolas"/>
          <w:sz w:val="14"/>
        </w:rPr>
        <w:t xml:space="preserve">   +--&gt; well_reservoir_data</w:t>
        <w:br/>
      </w:r>
      <w:r>
        <w:rPr>
          <w:rFonts w:ascii="Consolas" w:hAnsi="Consolas"/>
          <w:sz w:val="14"/>
        </w:rPr>
        <w:t xml:space="preserve">   |</w:t>
        <w:br/>
      </w:r>
      <w:r>
        <w:rPr>
          <w:rFonts w:ascii="Consolas" w:hAnsi="Consolas"/>
          <w:sz w:val="14"/>
        </w:rPr>
        <w:t xml:space="preserve">   +--&gt; esp_equipment_data</w:t>
        <w:br/>
      </w:r>
      <w:r>
        <w:rPr>
          <w:rFonts w:ascii="Consolas" w:hAnsi="Consolas"/>
          <w:sz w:val="14"/>
        </w:rPr>
        <w:t xml:space="preserve">   |</w:t>
        <w:br/>
      </w:r>
      <w:r>
        <w:rPr>
          <w:rFonts w:ascii="Consolas" w:hAnsi="Consolas"/>
          <w:sz w:val="14"/>
        </w:rPr>
        <w:t xml:space="preserve">   +--&gt; oem_reference_data</w:t>
        <w:br/>
      </w:r>
      <w:r>
        <w:rPr>
          <w:rFonts w:ascii="Consolas" w:hAnsi="Consolas"/>
          <w:sz w:val="14"/>
        </w:rPr>
        <w:t xml:space="preserve">   |</w:t>
        <w:br/>
      </w:r>
      <w:r>
        <w:rPr>
          <w:rFonts w:ascii="Consolas" w:hAnsi="Consolas"/>
          <w:sz w:val="14"/>
        </w:rPr>
        <w:t xml:space="preserve">   +--&gt; client_approved_limits</w:t>
        <w:br/>
      </w:r>
      <w:r>
        <w:rPr>
          <w:rFonts w:ascii="Consolas" w:hAnsi="Consolas"/>
          <w:sz w:val="14"/>
        </w:rPr>
        <w:t xml:space="preserve">   |</w:t>
        <w:br/>
      </w:r>
      <w:r>
        <w:rPr>
          <w:rFonts w:ascii="Consolas" w:hAnsi="Consolas"/>
          <w:sz w:val="14"/>
        </w:rPr>
        <w:t xml:space="preserve">   +--&gt; reliability_data</w:t>
        <w:br/>
      </w:r>
    </w:p>
    <w:p/>
    <w:p>
      <w:pPr>
        <w:spacing w:after="80"/>
        <w:jc w:val="left"/>
      </w:pPr>
      <w:r>
        <w:rPr>
          <w:b w:val="0"/>
          <w:i w:val="0"/>
        </w:rPr>
        <w:t>These sections are defined in the supplied JSON Schema. [engineering_input_schema.json]</w:t>
      </w:r>
    </w:p>
    <w:p>
      <w:pPr>
        <w:pStyle w:val="Heading1"/>
      </w:pPr>
      <w:r>
        <w:t>12. Input Authority Matrix</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4"/>
              </w:rPr>
              <w:t>Data domain</w:t>
            </w:r>
          </w:p>
        </w:tc>
        <w:tc>
          <w:tcPr>
            <w:tcW w:type="dxa" w:w="3485"/>
            <w:shd w:fill="D9EAF7"/>
          </w:tcPr>
          <w:p>
            <w:r>
              <w:rPr>
                <w:b/>
                <w:sz w:val="14"/>
              </w:rPr>
              <w:t>Typical examples</w:t>
            </w:r>
          </w:p>
        </w:tc>
        <w:tc>
          <w:tcPr>
            <w:tcW w:type="dxa" w:w="3485"/>
            <w:shd w:fill="D9EAF7"/>
          </w:tcPr>
          <w:p>
            <w:r>
              <w:rPr>
                <w:b/>
                <w:sz w:val="14"/>
              </w:rPr>
              <w:t>Authoritative source in supplied schema</w:t>
            </w:r>
          </w:p>
        </w:tc>
      </w:tr>
      <w:tr>
        <w:tc>
          <w:tcPr>
            <w:tcW w:type="dxa" w:w="3485"/>
            <w:vAlign w:val="center"/>
          </w:tcPr>
          <w:p>
            <w:r>
              <w:rPr>
                <w:sz w:val="14"/>
              </w:rPr>
              <w:t>Asset identity</w:t>
            </w:r>
          </w:p>
        </w:tc>
        <w:tc>
          <w:tcPr>
            <w:tcW w:type="dxa" w:w="3485"/>
            <w:vAlign w:val="center"/>
          </w:tcPr>
          <w:p>
            <w:r>
              <w:rPr>
                <w:sz w:val="14"/>
              </w:rPr>
              <w:t>asset_id, well_name, field</w:t>
            </w:r>
          </w:p>
        </w:tc>
        <w:tc>
          <w:tcPr>
            <w:tcW w:type="dxa" w:w="3485"/>
            <w:vAlign w:val="center"/>
          </w:tcPr>
          <w:p>
            <w:r>
              <w:rPr>
                <w:sz w:val="14"/>
              </w:rPr>
              <w:t>Asset/registry</w:t>
            </w:r>
          </w:p>
        </w:tc>
      </w:tr>
      <w:tr>
        <w:tc>
          <w:tcPr>
            <w:tcW w:type="dxa" w:w="3485"/>
            <w:vAlign w:val="center"/>
          </w:tcPr>
          <w:p>
            <w:r>
              <w:rPr>
                <w:sz w:val="14"/>
              </w:rPr>
              <w:t>Runtime</w:t>
            </w:r>
          </w:p>
        </w:tc>
        <w:tc>
          <w:tcPr>
            <w:tcW w:type="dxa" w:w="3485"/>
            <w:vAlign w:val="center"/>
          </w:tcPr>
          <w:p>
            <w:r>
              <w:rPr>
                <w:sz w:val="14"/>
              </w:rPr>
              <w:t>ΔP, Q, frequency, current, vibration, temperature</w:t>
            </w:r>
          </w:p>
        </w:tc>
        <w:tc>
          <w:tcPr>
            <w:tcW w:type="dxa" w:w="3485"/>
            <w:vAlign w:val="center"/>
          </w:tcPr>
          <w:p>
            <w:r>
              <w:rPr>
                <w:sz w:val="14"/>
              </w:rPr>
              <w:t>SCADA / VSD / sensors</w:t>
            </w:r>
          </w:p>
        </w:tc>
      </w:tr>
      <w:tr>
        <w:tc>
          <w:tcPr>
            <w:tcW w:type="dxa" w:w="3485"/>
            <w:vAlign w:val="center"/>
          </w:tcPr>
          <w:p>
            <w:r>
              <w:rPr>
                <w:sz w:val="14"/>
              </w:rPr>
              <w:t>Fluid</w:t>
            </w:r>
          </w:p>
        </w:tc>
        <w:tc>
          <w:tcPr>
            <w:tcW w:type="dxa" w:w="3485"/>
            <w:vAlign w:val="center"/>
          </w:tcPr>
          <w:p>
            <w:r>
              <w:rPr>
                <w:sz w:val="14"/>
              </w:rPr>
              <w:t>water cut, oil gravity, water SG, viscosity, PVT source</w:t>
            </w:r>
          </w:p>
        </w:tc>
        <w:tc>
          <w:tcPr>
            <w:tcW w:type="dxa" w:w="3485"/>
            <w:vAlign w:val="center"/>
          </w:tcPr>
          <w:p>
            <w:r>
              <w:rPr>
                <w:sz w:val="14"/>
              </w:rPr>
              <w:t>Test separator / lab / PVT</w:t>
            </w:r>
          </w:p>
        </w:tc>
      </w:tr>
      <w:tr>
        <w:tc>
          <w:tcPr>
            <w:tcW w:type="dxa" w:w="3485"/>
            <w:vAlign w:val="center"/>
          </w:tcPr>
          <w:p>
            <w:r>
              <w:rPr>
                <w:sz w:val="14"/>
              </w:rPr>
              <w:t>Well/reservoir</w:t>
            </w:r>
          </w:p>
        </w:tc>
        <w:tc>
          <w:tcPr>
            <w:tcW w:type="dxa" w:w="3485"/>
            <w:vAlign w:val="center"/>
          </w:tcPr>
          <w:p>
            <w:r>
              <w:rPr>
                <w:sz w:val="14"/>
              </w:rPr>
              <w:t>reservoir pressure, IPR selection/params, tubing ID</w:t>
            </w:r>
          </w:p>
        </w:tc>
        <w:tc>
          <w:tcPr>
            <w:tcW w:type="dxa" w:w="3485"/>
            <w:vAlign w:val="center"/>
          </w:tcPr>
          <w:p>
            <w:r>
              <w:rPr>
                <w:sz w:val="14"/>
              </w:rPr>
              <w:t>Well test / engineering</w:t>
            </w:r>
          </w:p>
        </w:tc>
      </w:tr>
      <w:tr>
        <w:tc>
          <w:tcPr>
            <w:tcW w:type="dxa" w:w="3485"/>
            <w:vAlign w:val="center"/>
          </w:tcPr>
          <w:p>
            <w:r>
              <w:rPr>
                <w:sz w:val="14"/>
              </w:rPr>
              <w:t>ESP equipment</w:t>
            </w:r>
          </w:p>
        </w:tc>
        <w:tc>
          <w:tcPr>
            <w:tcW w:type="dxa" w:w="3485"/>
            <w:vAlign w:val="center"/>
          </w:tcPr>
          <w:p>
            <w:r>
              <w:rPr>
                <w:sz w:val="14"/>
              </w:rPr>
              <w:t>pump model, stage count, motor model, cable, depth</w:t>
            </w:r>
          </w:p>
        </w:tc>
        <w:tc>
          <w:tcPr>
            <w:tcW w:type="dxa" w:w="3485"/>
            <w:vAlign w:val="center"/>
          </w:tcPr>
          <w:p>
            <w:r>
              <w:rPr>
                <w:sz w:val="14"/>
              </w:rPr>
              <w:t>Installed equipment record</w:t>
            </w:r>
          </w:p>
        </w:tc>
      </w:tr>
      <w:tr>
        <w:tc>
          <w:tcPr>
            <w:tcW w:type="dxa" w:w="3485"/>
            <w:vAlign w:val="center"/>
          </w:tcPr>
          <w:p>
            <w:r>
              <w:rPr>
                <w:sz w:val="14"/>
              </w:rPr>
              <w:t>OEM reference</w:t>
            </w:r>
          </w:p>
        </w:tc>
        <w:tc>
          <w:tcPr>
            <w:tcW w:type="dxa" w:w="3485"/>
            <w:vAlign w:val="center"/>
          </w:tcPr>
          <w:p>
            <w:r>
              <w:rPr>
                <w:sz w:val="14"/>
              </w:rPr>
              <w:t>pump curve, motor nameplate, cable impedance, gas curve</w:t>
            </w:r>
          </w:p>
        </w:tc>
        <w:tc>
          <w:tcPr>
            <w:tcW w:type="dxa" w:w="3485"/>
            <w:vAlign w:val="center"/>
          </w:tcPr>
          <w:p>
            <w:r>
              <w:rPr>
                <w:sz w:val="14"/>
              </w:rPr>
              <w:t>OEM master catalog/datasheet</w:t>
            </w:r>
          </w:p>
        </w:tc>
      </w:tr>
      <w:tr>
        <w:tc>
          <w:tcPr>
            <w:tcW w:type="dxa" w:w="3485"/>
            <w:vAlign w:val="center"/>
          </w:tcPr>
          <w:p>
            <w:r>
              <w:rPr>
                <w:sz w:val="14"/>
              </w:rPr>
              <w:t>Client limits</w:t>
            </w:r>
          </w:p>
        </w:tc>
        <w:tc>
          <w:tcPr>
            <w:tcW w:type="dxa" w:w="3485"/>
            <w:vAlign w:val="center"/>
          </w:tcPr>
          <w:p>
            <w:r>
              <w:rPr>
                <w:sz w:val="14"/>
              </w:rPr>
              <w:t>ROR, vibration, temperature, load thresholds</w:t>
            </w:r>
          </w:p>
        </w:tc>
        <w:tc>
          <w:tcPr>
            <w:tcW w:type="dxa" w:w="3485"/>
            <w:vAlign w:val="center"/>
          </w:tcPr>
          <w:p>
            <w:r>
              <w:rPr>
                <w:sz w:val="14"/>
              </w:rPr>
              <w:t>Client-approved policy / OEM / approved engineering</w:t>
            </w:r>
          </w:p>
        </w:tc>
      </w:tr>
      <w:tr>
        <w:tc>
          <w:tcPr>
            <w:tcW w:type="dxa" w:w="3485"/>
            <w:vAlign w:val="center"/>
          </w:tcPr>
          <w:p>
            <w:r>
              <w:rPr>
                <w:sz w:val="14"/>
              </w:rPr>
              <w:t>Reliability</w:t>
            </w:r>
          </w:p>
        </w:tc>
        <w:tc>
          <w:tcPr>
            <w:tcW w:type="dxa" w:w="3485"/>
            <w:vAlign w:val="center"/>
          </w:tcPr>
          <w:p>
            <w:r>
              <w:rPr>
                <w:sz w:val="14"/>
              </w:rPr>
              <w:t>teardown records, failure categories, dates</w:t>
            </w:r>
          </w:p>
        </w:tc>
        <w:tc>
          <w:tcPr>
            <w:tcW w:type="dxa" w:w="3485"/>
            <w:vAlign w:val="center"/>
          </w:tcPr>
          <w:p>
            <w:r>
              <w:rPr>
                <w:sz w:val="14"/>
              </w:rPr>
              <w:t>Work-order / teardown / reliability system</w:t>
            </w:r>
          </w:p>
        </w:tc>
      </w:tr>
    </w:tbl>
    <w:p/>
    <w:p>
      <w:pPr>
        <w:pStyle w:val="Heading1"/>
      </w:pPr>
      <w:r>
        <w:t>13. Real-Time Data Mapping for Current Asset Dataset</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4"/>
              </w:rPr>
              <w:t>Existing telemetry/asset input</w:t>
            </w:r>
          </w:p>
        </w:tc>
        <w:tc>
          <w:tcPr>
            <w:tcW w:type="dxa" w:w="3485"/>
            <w:shd w:fill="D9EAF7"/>
          </w:tcPr>
          <w:p>
            <w:r>
              <w:rPr>
                <w:b/>
                <w:sz w:val="14"/>
              </w:rPr>
              <w:t>Engineering field</w:t>
            </w:r>
          </w:p>
        </w:tc>
        <w:tc>
          <w:tcPr>
            <w:tcW w:type="dxa" w:w="3485"/>
            <w:shd w:fill="D9EAF7"/>
          </w:tcPr>
          <w:p>
            <w:r>
              <w:rPr>
                <w:b/>
                <w:sz w:val="14"/>
              </w:rPr>
              <w:t>Use</w:t>
            </w:r>
          </w:p>
        </w:tc>
      </w:tr>
      <w:tr>
        <w:tc>
          <w:tcPr>
            <w:tcW w:type="dxa" w:w="3485"/>
            <w:vAlign w:val="center"/>
          </w:tcPr>
          <w:p>
            <w:r>
              <w:rPr>
                <w:sz w:val="14"/>
              </w:rPr>
              <w:t>Liquid rate</w:t>
            </w:r>
          </w:p>
        </w:tc>
        <w:tc>
          <w:tcPr>
            <w:tcW w:type="dxa" w:w="3485"/>
            <w:vAlign w:val="center"/>
          </w:tcPr>
          <w:p>
            <w:r>
              <w:rPr>
                <w:sz w:val="14"/>
              </w:rPr>
              <w:t>flow_rate_q_bpd</w:t>
            </w:r>
          </w:p>
        </w:tc>
        <w:tc>
          <w:tcPr>
            <w:tcW w:type="dxa" w:w="3485"/>
            <w:vAlign w:val="center"/>
          </w:tcPr>
          <w:p>
            <w:r>
              <w:rPr>
                <w:sz w:val="14"/>
              </w:rPr>
              <w:t>A2, A5, C1, E1</w:t>
            </w:r>
          </w:p>
        </w:tc>
      </w:tr>
      <w:tr>
        <w:tc>
          <w:tcPr>
            <w:tcW w:type="dxa" w:w="3485"/>
            <w:vAlign w:val="center"/>
          </w:tcPr>
          <w:p>
            <w:r>
              <w:rPr>
                <w:sz w:val="14"/>
              </w:rPr>
              <w:t>Intake pressure + discharge pressure</w:t>
            </w:r>
          </w:p>
        </w:tc>
        <w:tc>
          <w:tcPr>
            <w:tcW w:type="dxa" w:w="3485"/>
            <w:vAlign w:val="center"/>
          </w:tcPr>
          <w:p>
            <w:r>
              <w:rPr>
                <w:sz w:val="14"/>
              </w:rPr>
              <w:t>flowing_pressure_diff_psi</w:t>
            </w:r>
          </w:p>
        </w:tc>
        <w:tc>
          <w:tcPr>
            <w:tcW w:type="dxa" w:w="3485"/>
            <w:vAlign w:val="center"/>
          </w:tcPr>
          <w:p>
            <w:r>
              <w:rPr>
                <w:sz w:val="14"/>
              </w:rPr>
              <w:t>A1; service may derive ΔP from raw PIP/PDP upstream</w:t>
            </w:r>
          </w:p>
        </w:tc>
      </w:tr>
      <w:tr>
        <w:tc>
          <w:tcPr>
            <w:tcW w:type="dxa" w:w="3485"/>
            <w:vAlign w:val="center"/>
          </w:tcPr>
          <w:p>
            <w:r>
              <w:rPr>
                <w:sz w:val="14"/>
              </w:rPr>
              <w:t>Motor current</w:t>
            </w:r>
          </w:p>
        </w:tc>
        <w:tc>
          <w:tcPr>
            <w:tcW w:type="dxa" w:w="3485"/>
            <w:vAlign w:val="center"/>
          </w:tcPr>
          <w:p>
            <w:r>
              <w:rPr>
                <w:sz w:val="14"/>
              </w:rPr>
              <w:t>motor_measured_current_a</w:t>
            </w:r>
          </w:p>
        </w:tc>
        <w:tc>
          <w:tcPr>
            <w:tcW w:type="dxa" w:w="3485"/>
            <w:vAlign w:val="center"/>
          </w:tcPr>
          <w:p>
            <w:r>
              <w:rPr>
                <w:sz w:val="14"/>
              </w:rPr>
              <w:t>C2, F1, F3</w:t>
            </w:r>
          </w:p>
        </w:tc>
      </w:tr>
      <w:tr>
        <w:tc>
          <w:tcPr>
            <w:tcW w:type="dxa" w:w="3485"/>
            <w:vAlign w:val="center"/>
          </w:tcPr>
          <w:p>
            <w:r>
              <w:rPr>
                <w:sz w:val="14"/>
              </w:rPr>
              <w:t>Frequency</w:t>
            </w:r>
          </w:p>
        </w:tc>
        <w:tc>
          <w:tcPr>
            <w:tcW w:type="dxa" w:w="3485"/>
            <w:vAlign w:val="center"/>
          </w:tcPr>
          <w:p>
            <w:r>
              <w:rPr>
                <w:sz w:val="14"/>
              </w:rPr>
              <w:t>operating_frequency_hz</w:t>
            </w:r>
          </w:p>
        </w:tc>
        <w:tc>
          <w:tcPr>
            <w:tcW w:type="dxa" w:w="3485"/>
            <w:vAlign w:val="center"/>
          </w:tcPr>
          <w:p>
            <w:r>
              <w:rPr>
                <w:sz w:val="14"/>
              </w:rPr>
              <w:t>A4, B1, B2</w:t>
            </w:r>
          </w:p>
        </w:tc>
      </w:tr>
      <w:tr>
        <w:tc>
          <w:tcPr>
            <w:tcW w:type="dxa" w:w="3485"/>
            <w:vAlign w:val="center"/>
          </w:tcPr>
          <w:p>
            <w:r>
              <w:rPr>
                <w:sz w:val="14"/>
              </w:rPr>
              <w:t>Motor temperature</w:t>
            </w:r>
          </w:p>
        </w:tc>
        <w:tc>
          <w:tcPr>
            <w:tcW w:type="dxa" w:w="3485"/>
            <w:vAlign w:val="center"/>
          </w:tcPr>
          <w:p>
            <w:r>
              <w:rPr>
                <w:sz w:val="14"/>
              </w:rPr>
              <w:t>motor_temperature_measured</w:t>
            </w:r>
          </w:p>
        </w:tc>
        <w:tc>
          <w:tcPr>
            <w:tcW w:type="dxa" w:w="3485"/>
            <w:vAlign w:val="center"/>
          </w:tcPr>
          <w:p>
            <w:r>
              <w:rPr>
                <w:sz w:val="14"/>
              </w:rPr>
              <w:t>E3</w:t>
            </w:r>
          </w:p>
        </w:tc>
      </w:tr>
      <w:tr>
        <w:tc>
          <w:tcPr>
            <w:tcW w:type="dxa" w:w="3485"/>
            <w:vAlign w:val="center"/>
          </w:tcPr>
          <w:p>
            <w:r>
              <w:rPr>
                <w:sz w:val="14"/>
              </w:rPr>
              <w:t>Vibration</w:t>
            </w:r>
          </w:p>
        </w:tc>
        <w:tc>
          <w:tcPr>
            <w:tcW w:type="dxa" w:w="3485"/>
            <w:vAlign w:val="center"/>
          </w:tcPr>
          <w:p>
            <w:r>
              <w:rPr>
                <w:sz w:val="14"/>
              </w:rPr>
              <w:t>vibration_measured</w:t>
            </w:r>
          </w:p>
        </w:tc>
        <w:tc>
          <w:tcPr>
            <w:tcW w:type="dxa" w:w="3485"/>
            <w:vAlign w:val="center"/>
          </w:tcPr>
          <w:p>
            <w:r>
              <w:rPr>
                <w:sz w:val="14"/>
              </w:rPr>
              <w:t>E2</w:t>
            </w:r>
          </w:p>
        </w:tc>
      </w:tr>
      <w:tr>
        <w:tc>
          <w:tcPr>
            <w:tcW w:type="dxa" w:w="3485"/>
            <w:vAlign w:val="center"/>
          </w:tcPr>
          <w:p>
            <w:r>
              <w:rPr>
                <w:sz w:val="14"/>
              </w:rPr>
              <w:t>Water cut</w:t>
            </w:r>
          </w:p>
        </w:tc>
        <w:tc>
          <w:tcPr>
            <w:tcW w:type="dxa" w:w="3485"/>
            <w:vAlign w:val="center"/>
          </w:tcPr>
          <w:p>
            <w:r>
              <w:rPr>
                <w:sz w:val="14"/>
              </w:rPr>
              <w:t>water_cut</w:t>
            </w:r>
          </w:p>
        </w:tc>
        <w:tc>
          <w:tcPr>
            <w:tcW w:type="dxa" w:w="3485"/>
            <w:vAlign w:val="center"/>
          </w:tcPr>
          <w:p>
            <w:r>
              <w:rPr>
                <w:sz w:val="14"/>
              </w:rPr>
              <w:t>D4</w:t>
            </w:r>
          </w:p>
        </w:tc>
      </w:tr>
      <w:tr>
        <w:tc>
          <w:tcPr>
            <w:tcW w:type="dxa" w:w="3485"/>
            <w:vAlign w:val="center"/>
          </w:tcPr>
          <w:p>
            <w:r>
              <w:rPr>
                <w:sz w:val="14"/>
              </w:rPr>
              <w:t>Oil gravity</w:t>
            </w:r>
          </w:p>
        </w:tc>
        <w:tc>
          <w:tcPr>
            <w:tcW w:type="dxa" w:w="3485"/>
            <w:vAlign w:val="center"/>
          </w:tcPr>
          <w:p>
            <w:r>
              <w:rPr>
                <w:sz w:val="14"/>
              </w:rPr>
              <w:t>oil_gravity_api</w:t>
            </w:r>
          </w:p>
        </w:tc>
        <w:tc>
          <w:tcPr>
            <w:tcW w:type="dxa" w:w="3485"/>
            <w:vAlign w:val="center"/>
          </w:tcPr>
          <w:p>
            <w:r>
              <w:rPr>
                <w:sz w:val="14"/>
              </w:rPr>
              <w:t>D4</w:t>
            </w:r>
          </w:p>
        </w:tc>
      </w:tr>
      <w:tr>
        <w:tc>
          <w:tcPr>
            <w:tcW w:type="dxa" w:w="3485"/>
            <w:vAlign w:val="center"/>
          </w:tcPr>
          <w:p>
            <w:r>
              <w:rPr>
                <w:sz w:val="14"/>
              </w:rPr>
              <w:t>Produced-water SG</w:t>
            </w:r>
          </w:p>
        </w:tc>
        <w:tc>
          <w:tcPr>
            <w:tcW w:type="dxa" w:w="3485"/>
            <w:vAlign w:val="center"/>
          </w:tcPr>
          <w:p>
            <w:r>
              <w:rPr>
                <w:sz w:val="14"/>
              </w:rPr>
              <w:t>produced_water_sg</w:t>
            </w:r>
          </w:p>
        </w:tc>
        <w:tc>
          <w:tcPr>
            <w:tcW w:type="dxa" w:w="3485"/>
            <w:vAlign w:val="center"/>
          </w:tcPr>
          <w:p>
            <w:r>
              <w:rPr>
                <w:sz w:val="14"/>
              </w:rPr>
              <w:t>D4</w:t>
            </w:r>
          </w:p>
        </w:tc>
      </w:tr>
      <w:tr>
        <w:tc>
          <w:tcPr>
            <w:tcW w:type="dxa" w:w="3485"/>
            <w:vAlign w:val="center"/>
          </w:tcPr>
          <w:p>
            <w:r>
              <w:rPr>
                <w:sz w:val="14"/>
              </w:rPr>
              <w:t>Pump/motor model</w:t>
            </w:r>
          </w:p>
        </w:tc>
        <w:tc>
          <w:tcPr>
            <w:tcW w:type="dxa" w:w="3485"/>
            <w:vAlign w:val="center"/>
          </w:tcPr>
          <w:p>
            <w:r>
              <w:rPr>
                <w:sz w:val="14"/>
              </w:rPr>
              <w:t>pump_model_id / motor_model_id</w:t>
            </w:r>
          </w:p>
        </w:tc>
        <w:tc>
          <w:tcPr>
            <w:tcW w:type="dxa" w:w="3485"/>
            <w:vAlign w:val="center"/>
          </w:tcPr>
          <w:p>
            <w:r>
              <w:rPr>
                <w:sz w:val="14"/>
              </w:rPr>
              <w:t>B1/B2/C2/A5</w:t>
            </w:r>
          </w:p>
        </w:tc>
      </w:tr>
      <w:tr>
        <w:tc>
          <w:tcPr>
            <w:tcW w:type="dxa" w:w="3485"/>
            <w:vAlign w:val="center"/>
          </w:tcPr>
          <w:p>
            <w:r>
              <w:rPr>
                <w:sz w:val="14"/>
              </w:rPr>
              <w:t>Stage count</w:t>
            </w:r>
          </w:p>
        </w:tc>
        <w:tc>
          <w:tcPr>
            <w:tcW w:type="dxa" w:w="3485"/>
            <w:vAlign w:val="center"/>
          </w:tcPr>
          <w:p>
            <w:r>
              <w:rPr>
                <w:sz w:val="14"/>
              </w:rPr>
              <w:t>stage_count</w:t>
            </w:r>
          </w:p>
        </w:tc>
        <w:tc>
          <w:tcPr>
            <w:tcW w:type="dxa" w:w="3485"/>
            <w:vAlign w:val="center"/>
          </w:tcPr>
          <w:p>
            <w:r>
              <w:rPr>
                <w:sz w:val="14"/>
              </w:rPr>
              <w:t>B1/A3</w:t>
            </w:r>
          </w:p>
        </w:tc>
      </w:tr>
      <w:tr>
        <w:tc>
          <w:tcPr>
            <w:tcW w:type="dxa" w:w="3485"/>
            <w:vAlign w:val="center"/>
          </w:tcPr>
          <w:p>
            <w:r>
              <w:rPr>
                <w:sz w:val="14"/>
              </w:rPr>
              <w:t>Setting depth</w:t>
            </w:r>
          </w:p>
        </w:tc>
        <w:tc>
          <w:tcPr>
            <w:tcW w:type="dxa" w:w="3485"/>
            <w:vAlign w:val="center"/>
          </w:tcPr>
          <w:p>
            <w:r>
              <w:rPr>
                <w:sz w:val="14"/>
              </w:rPr>
              <w:t>setting_depth_ft</w:t>
            </w:r>
          </w:p>
        </w:tc>
        <w:tc>
          <w:tcPr>
            <w:tcW w:type="dxa" w:w="3485"/>
            <w:vAlign w:val="center"/>
          </w:tcPr>
          <w:p>
            <w:r>
              <w:rPr>
                <w:sz w:val="14"/>
              </w:rPr>
              <w:t>A1/C1</w:t>
            </w:r>
          </w:p>
        </w:tc>
      </w:tr>
    </w:tbl>
    <w:p/>
    <w:p>
      <w:pPr>
        <w:spacing w:after="80"/>
        <w:jc w:val="left"/>
      </w:pPr>
      <w:r>
        <w:rPr>
          <w:b w:val="0"/>
          <w:i w:val="0"/>
        </w:rPr>
        <w:t>The engineering schema explicitly maps many of these fields to calculation IDs; e.g. Q to A2/A5/C1/E1, frequency to A4/B1/B2, and measured current to C2/F1/F3. [engineering_input_schema.json]</w:t>
      </w:r>
    </w:p>
    <w:p>
      <w:pPr>
        <w:pStyle w:val="Heading1"/>
      </w:pPr>
      <w:r>
        <w:t>14. OEM Master Data Layer</w:t>
      </w:r>
    </w:p>
    <w:p>
      <w:pPr>
        <w:spacing w:after="80"/>
        <w:jc w:val="left"/>
      </w:pPr>
      <w:r>
        <w:rPr>
          <w:b w:val="0"/>
          <w:i w:val="0"/>
        </w:rPr>
        <w:t>OEM data is not supplied as a free-text prompt to the Agent. It should be stored in structured, versioned master datasets keyed by the exact installed model/series/stage configuration.</w:t>
      </w:r>
    </w:p>
    <w:p>
      <w:pPr>
        <w:ind w:left="259" w:right="259"/>
      </w:pPr>
      <w:r>
        <w:rPr>
          <w:rFonts w:ascii="Consolas" w:hAnsi="Consolas"/>
          <w:sz w:val="14"/>
        </w:rPr>
        <w:t>OEM Master Data</w:t>
        <w:br/>
      </w:r>
      <w:r>
        <w:rPr>
          <w:rFonts w:ascii="Consolas" w:hAnsi="Consolas"/>
          <w:sz w:val="14"/>
        </w:rPr>
        <w:t>├── pump_model_id</w:t>
        <w:br/>
      </w:r>
      <w:r>
        <w:rPr>
          <w:rFonts w:ascii="Consolas" w:hAnsi="Consolas"/>
          <w:sz w:val="14"/>
        </w:rPr>
        <w:t>├── stage_count / stage type</w:t>
        <w:br/>
      </w:r>
      <w:r>
        <w:rPr>
          <w:rFonts w:ascii="Consolas" w:hAnsi="Consolas"/>
          <w:sz w:val="14"/>
        </w:rPr>
        <w:t>├── base_frequency</w:t>
        <w:br/>
      </w:r>
      <w:r>
        <w:rPr>
          <w:rFonts w:ascii="Consolas" w:hAnsi="Consolas"/>
          <w:sz w:val="14"/>
        </w:rPr>
        <w:t>├── pump_curve[]</w:t>
        <w:br/>
      </w:r>
      <w:r>
        <w:rPr>
          <w:rFonts w:ascii="Consolas" w:hAnsi="Consolas"/>
          <w:sz w:val="14"/>
        </w:rPr>
        <w:t>│   ├── Q</w:t>
        <w:br/>
      </w:r>
      <w:r>
        <w:rPr>
          <w:rFonts w:ascii="Consolas" w:hAnsi="Consolas"/>
          <w:sz w:val="14"/>
        </w:rPr>
        <w:t>│   ├── H</w:t>
        <w:br/>
      </w:r>
      <w:r>
        <w:rPr>
          <w:rFonts w:ascii="Consolas" w:hAnsi="Consolas"/>
          <w:sz w:val="14"/>
        </w:rPr>
        <w:t>│   ├── efficiency</w:t>
        <w:br/>
      </w:r>
      <w:r>
        <w:rPr>
          <w:rFonts w:ascii="Consolas" w:hAnsi="Consolas"/>
          <w:sz w:val="14"/>
        </w:rPr>
        <w:t>│   └── BHP</w:t>
        <w:br/>
      </w:r>
      <w:r>
        <w:rPr>
          <w:rFonts w:ascii="Consolas" w:hAnsi="Consolas"/>
          <w:sz w:val="14"/>
        </w:rPr>
        <w:t>├── ROR bounds</w:t>
        <w:br/>
      </w:r>
      <w:r>
        <w:rPr>
          <w:rFonts w:ascii="Consolas" w:hAnsi="Consolas"/>
          <w:sz w:val="14"/>
        </w:rPr>
        <w:t>├── motor_model_id</w:t>
        <w:br/>
      </w:r>
      <w:r>
        <w:rPr>
          <w:rFonts w:ascii="Consolas" w:hAnsi="Consolas"/>
          <w:sz w:val="14"/>
        </w:rPr>
        <w:t>├── motor_nameplate</w:t>
        <w:br/>
      </w:r>
      <w:r>
        <w:rPr>
          <w:rFonts w:ascii="Consolas" w:hAnsi="Consolas"/>
          <w:sz w:val="14"/>
        </w:rPr>
        <w:t>├── motor performance curves</w:t>
        <w:br/>
      </w:r>
      <w:r>
        <w:rPr>
          <w:rFonts w:ascii="Consolas" w:hAnsi="Consolas"/>
          <w:sz w:val="14"/>
        </w:rPr>
        <w:t>├── cable impedance table</w:t>
        <w:br/>
      </w:r>
      <w:r>
        <w:rPr>
          <w:rFonts w:ascii="Consolas" w:hAnsi="Consolas"/>
          <w:sz w:val="14"/>
        </w:rPr>
        <w:t>├── gas separator model</w:t>
        <w:br/>
      </w:r>
      <w:r>
        <w:rPr>
          <w:rFonts w:ascii="Consolas" w:hAnsi="Consolas"/>
          <w:sz w:val="14"/>
        </w:rPr>
        <w:t>├── gas-handling curve</w:t>
        <w:br/>
      </w:r>
      <w:r>
        <w:rPr>
          <w:rFonts w:ascii="Consolas" w:hAnsi="Consolas"/>
          <w:sz w:val="14"/>
        </w:rPr>
        <w:t>└── OEM limits</w:t>
        <w:br/>
      </w:r>
    </w:p>
    <w:p/>
    <w:p>
      <w:pPr>
        <w:spacing w:after="80"/>
        <w:jc w:val="left"/>
      </w:pPr>
      <w:r>
        <w:rPr>
          <w:b w:val="0"/>
          <w:i w:val="0"/>
        </w:rPr>
        <w:t>The input schema explicitly states OEM reference data is joined from an OEM master catalog keyed by pump_model_id/motor_model_id. [engineering_input_schema.json, lines 847–857]</w:t>
      </w:r>
    </w:p>
    <w:p>
      <w:pPr>
        <w:pStyle w:val="Heading1"/>
      </w:pPr>
      <w:r>
        <w:t>15. Client-Approved Limits Layer</w:t>
      </w:r>
    </w:p>
    <w:p>
      <w:pPr>
        <w:spacing w:after="80"/>
        <w:jc w:val="left"/>
      </w:pPr>
      <w:r>
        <w:rPr>
          <w:b w:val="0"/>
          <w:i w:val="0"/>
        </w:rPr>
        <w:t>Limits must be external configuration, not constants embedded in code. The supplied schema explicitly says no service-side defaults are permitted for client-approved limits. [engineering_input_schema.json, lines 861–870]</w:t>
      </w:r>
    </w:p>
    <w:p>
      <w:pPr>
        <w:ind w:left="259" w:right="259"/>
      </w:pPr>
      <w:r>
        <w:rPr>
          <w:rFonts w:ascii="Consolas" w:hAnsi="Consolas"/>
          <w:sz w:val="14"/>
        </w:rPr>
        <w:t>Asset / Fleet Configuration</w:t>
        <w:br/>
      </w:r>
      <w:r>
        <w:rPr>
          <w:rFonts w:ascii="Consolas" w:hAnsi="Consolas"/>
          <w:sz w:val="14"/>
        </w:rPr>
        <w:t xml:space="preserve">        |</w:t>
        <w:br/>
      </w:r>
      <w:r>
        <w:rPr>
          <w:rFonts w:ascii="Consolas" w:hAnsi="Consolas"/>
          <w:sz w:val="14"/>
        </w:rPr>
        <w:t xml:space="preserve">        +--&gt; ROR</w:t>
        <w:br/>
      </w:r>
      <w:r>
        <w:rPr>
          <w:rFonts w:ascii="Consolas" w:hAnsi="Consolas"/>
          <w:sz w:val="14"/>
        </w:rPr>
        <w:t xml:space="preserve">        +--&gt; vibration</w:t>
        <w:br/>
      </w:r>
      <w:r>
        <w:rPr>
          <w:rFonts w:ascii="Consolas" w:hAnsi="Consolas"/>
          <w:sz w:val="14"/>
        </w:rPr>
        <w:t xml:space="preserve">        +--&gt; motor temperature</w:t>
        <w:br/>
      </w:r>
      <w:r>
        <w:rPr>
          <w:rFonts w:ascii="Consolas" w:hAnsi="Consolas"/>
          <w:sz w:val="14"/>
        </w:rPr>
        <w:t xml:space="preserve">        +--&gt; underload</w:t>
        <w:br/>
      </w:r>
      <w:r>
        <w:rPr>
          <w:rFonts w:ascii="Consolas" w:hAnsi="Consolas"/>
          <w:sz w:val="14"/>
        </w:rPr>
        <w:t xml:space="preserve">        +--&gt; overload</w:t>
        <w:br/>
      </w:r>
      <w:r>
        <w:rPr>
          <w:rFonts w:ascii="Consolas" w:hAnsi="Consolas"/>
          <w:sz w:val="14"/>
        </w:rPr>
        <w:t xml:space="preserve">        +--&gt; cyclic threshold</w:t>
        <w:br/>
      </w:r>
      <w:r>
        <w:rPr>
          <w:rFonts w:ascii="Consolas" w:hAnsi="Consolas"/>
          <w:sz w:val="14"/>
        </w:rPr>
        <w:t xml:space="preserve">        +--&gt; approved gas-handling correlation</w:t>
        <w:br/>
      </w:r>
    </w:p>
    <w:p/>
    <w:p>
      <w:pPr>
        <w:pStyle w:val="Heading1"/>
      </w:pPr>
      <w:r>
        <w:t>16. Reference Registry</w:t>
      </w:r>
    </w:p>
    <w:p>
      <w:pPr>
        <w:spacing w:after="80"/>
        <w:jc w:val="left"/>
      </w:pPr>
      <w:r>
        <w:rPr>
          <w:b w:val="0"/>
          <w:i w:val="0"/>
        </w:rPr>
        <w:t>The reference registry is a governance layer, not a formula engine.</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Reference state</w:t>
            </w:r>
          </w:p>
        </w:tc>
        <w:tc>
          <w:tcPr>
            <w:tcW w:type="dxa" w:w="5227"/>
            <w:shd w:fill="D9EAF7"/>
          </w:tcPr>
          <w:p>
            <w:r>
              <w:rPr>
                <w:b/>
                <w:sz w:val="14"/>
              </w:rPr>
              <w:t>Service behavior</w:t>
            </w:r>
          </w:p>
        </w:tc>
      </w:tr>
      <w:tr>
        <w:tc>
          <w:tcPr>
            <w:tcW w:type="dxa" w:w="5227"/>
            <w:vAlign w:val="center"/>
          </w:tcPr>
          <w:p>
            <w:r>
              <w:rPr>
                <w:sz w:val="14"/>
              </w:rPr>
              <w:t>Current + applicable</w:t>
            </w:r>
          </w:p>
        </w:tc>
        <w:tc>
          <w:tcPr>
            <w:tcW w:type="dxa" w:w="5227"/>
            <w:vAlign w:val="center"/>
          </w:tcPr>
          <w:p>
            <w:r>
              <w:rPr>
                <w:sz w:val="14"/>
              </w:rPr>
              <w:t>May be used when the calculation explicitly references it.</w:t>
            </w:r>
          </w:p>
        </w:tc>
      </w:tr>
      <w:tr>
        <w:tc>
          <w:tcPr>
            <w:tcW w:type="dxa" w:w="5227"/>
            <w:vAlign w:val="center"/>
          </w:tcPr>
          <w:p>
            <w:r>
              <w:rPr>
                <w:sz w:val="14"/>
              </w:rPr>
              <w:t>Requires engineering validation</w:t>
            </w:r>
          </w:p>
        </w:tc>
        <w:tc>
          <w:tcPr>
            <w:tcW w:type="dxa" w:w="5227"/>
            <w:vAlign w:val="center"/>
          </w:tcPr>
          <w:p>
            <w:r>
              <w:rPr>
                <w:sz w:val="14"/>
              </w:rPr>
              <w:t>Do not hard-code its unresolved content; dependent calculation remains blocked.</w:t>
            </w:r>
          </w:p>
        </w:tc>
      </w:tr>
      <w:tr>
        <w:tc>
          <w:tcPr>
            <w:tcW w:type="dxa" w:w="5227"/>
            <w:vAlign w:val="center"/>
          </w:tcPr>
          <w:p>
            <w:r>
              <w:rPr>
                <w:sz w:val="14"/>
              </w:rPr>
              <w:t>Withdrawn/superseded</w:t>
            </w:r>
          </w:p>
        </w:tc>
        <w:tc>
          <w:tcPr>
            <w:tcW w:type="dxa" w:w="5227"/>
            <w:vAlign w:val="center"/>
          </w:tcPr>
          <w:p>
            <w:r>
              <w:rPr>
                <w:sz w:val="14"/>
              </w:rPr>
              <w:t>Do not use as current authority.</w:t>
            </w:r>
          </w:p>
        </w:tc>
      </w:tr>
      <w:tr>
        <w:tc>
          <w:tcPr>
            <w:tcW w:type="dxa" w:w="5227"/>
            <w:vAlign w:val="center"/>
          </w:tcPr>
          <w:p>
            <w:r>
              <w:rPr>
                <w:sz w:val="14"/>
              </w:rPr>
              <w:t>Third-party verification only</w:t>
            </w:r>
          </w:p>
        </w:tc>
        <w:tc>
          <w:tcPr>
            <w:tcW w:type="dxa" w:w="5227"/>
            <w:vAlign w:val="center"/>
          </w:tcPr>
          <w:p>
            <w:r>
              <w:rPr>
                <w:sz w:val="14"/>
              </w:rPr>
              <w:t>Re-verify directly before compliance-critical production use.</w:t>
            </w:r>
          </w:p>
        </w:tc>
      </w:tr>
      <w:tr>
        <w:tc>
          <w:tcPr>
            <w:tcW w:type="dxa" w:w="5227"/>
            <w:vAlign w:val="center"/>
          </w:tcPr>
          <w:p>
            <w:r>
              <w:rPr>
                <w:sz w:val="14"/>
              </w:rPr>
              <w:t>Peer-reviewed correlation</w:t>
            </w:r>
          </w:p>
        </w:tc>
        <w:tc>
          <w:tcPr>
            <w:tcW w:type="dxa" w:w="5227"/>
            <w:vAlign w:val="center"/>
          </w:tcPr>
          <w:p>
            <w:r>
              <w:rPr>
                <w:sz w:val="14"/>
              </w:rPr>
              <w:t>Must be explicitly selected/configured; never silently default.</w:t>
            </w:r>
          </w:p>
        </w:tc>
      </w:tr>
    </w:tbl>
    <w:p/>
    <w:p>
      <w:pPr>
        <w:spacing w:after="80"/>
        <w:jc w:val="left"/>
      </w:pPr>
      <w:r>
        <w:rPr>
          <w:b w:val="0"/>
          <w:i w:val="0"/>
        </w:rPr>
        <w:t>The reference registry itself states that third-party verification should be rechecked directly against primary API/ISO/ANSI sources before compliance-critical use. [engineering_reference_registry.yaml, lines 416–420]</w:t>
      </w:r>
    </w:p>
    <w:p>
      <w:pPr>
        <w:pStyle w:val="Heading1"/>
      </w:pPr>
      <w:r>
        <w:t>17. Important Reference Findings to Preserve</w:t>
      </w:r>
    </w:p>
    <w:p>
      <w:pPr>
        <w:pStyle w:val="ListBullet"/>
        <w:spacing w:after="20"/>
      </w:pPr>
      <w:r>
        <w:t>API RP 11S4 is marked WITHDRAWN in the supplied reference registry; it must not be treated as current authority.</w:t>
      </w:r>
    </w:p>
    <w:p>
      <w:pPr>
        <w:pStyle w:val="ListBullet"/>
        <w:spacing w:after="20"/>
      </w:pPr>
      <w:r>
        <w:t>ISO 15551:2023 is identified as current and as the important current framework for ESP systems and ROR methodology, but the numeric ROR annex content was not retrieved and remains a validation dependency.</w:t>
      </w:r>
    </w:p>
    <w:p>
      <w:pPr>
        <w:pStyle w:val="ListBullet"/>
        <w:spacing w:after="20"/>
      </w:pPr>
      <w:r>
        <w:t>ANSI/HI 9.6.7-2021 is identified as current for viscous-liquid performance correction, but ESP-specific applicability and exact chart content require direct verification before hard-coding.</w:t>
      </w:r>
    </w:p>
    <w:p>
      <w:pPr>
        <w:pStyle w:val="ListBullet"/>
        <w:spacing w:after="20"/>
      </w:pPr>
      <w:r>
        <w:t>API RP 11S8 numeric vibration limits were not retrieved; do not hard-code numeric limits from memory.</w:t>
      </w:r>
    </w:p>
    <w:p>
      <w:pPr>
        <w:pStyle w:val="ListBullet"/>
        <w:spacing w:after="20"/>
      </w:pPr>
      <w:r>
        <w:t>PVT correlations such as Standing/Vasquez-Beggs/Beggs-Brill/Turpin are described as literature/correlation choices requiring explicit client/engineering selection.</w:t>
      </w:r>
    </w:p>
    <w:p>
      <w:pPr>
        <w:spacing w:after="80"/>
        <w:jc w:val="left"/>
      </w:pPr>
      <w:r>
        <w:rPr>
          <w:b w:val="0"/>
          <w:i w:val="0"/>
        </w:rPr>
        <w:t>These points are directly reflected in the supplied reference registry and research package. [engineering_reference_registry.yaml, lines 465–474, 506–519, 532–545, 486–495, 595–605]</w:t>
      </w:r>
    </w:p>
    <w:p>
      <w:pPr>
        <w:pStyle w:val="Heading1"/>
      </w:pPr>
      <w:r>
        <w:t>18. Deterministic Calculation Function Boundary</w:t>
      </w:r>
    </w:p>
    <w:p>
      <w:pPr>
        <w:ind w:left="259" w:right="259"/>
      </w:pPr>
      <w:r>
        <w:rPr>
          <w:rFonts w:ascii="Consolas" w:hAnsi="Consolas"/>
          <w:sz w:val="14"/>
        </w:rPr>
        <w:t>Calculation Registry</w:t>
        <w:br/>
      </w:r>
      <w:r>
        <w:rPr>
          <w:rFonts w:ascii="Consolas" w:hAnsi="Consolas"/>
          <w:sz w:val="14"/>
        </w:rPr>
        <w:t xml:space="preserve">       |</w:t>
        <w:br/>
      </w:r>
      <w:r>
        <w:rPr>
          <w:rFonts w:ascii="Consolas" w:hAnsi="Consolas"/>
          <w:sz w:val="14"/>
        </w:rPr>
        <w:t xml:space="preserve">       v</w:t>
        <w:br/>
      </w:r>
      <w:r>
        <w:rPr>
          <w:rFonts w:ascii="Consolas" w:hAnsi="Consolas"/>
          <w:sz w:val="14"/>
        </w:rPr>
        <w:t>Typed Function</w:t>
        <w:br/>
      </w:r>
      <w:r>
        <w:rPr>
          <w:rFonts w:ascii="Consolas" w:hAnsi="Consolas"/>
          <w:sz w:val="14"/>
        </w:rPr>
        <w:t xml:space="preserve">       |</w:t>
        <w:br/>
      </w:r>
      <w:r>
        <w:rPr>
          <w:rFonts w:ascii="Consolas" w:hAnsi="Consolas"/>
          <w:sz w:val="14"/>
        </w:rPr>
        <w:t xml:space="preserve">       +--&gt; validated scalar inputs</w:t>
        <w:br/>
      </w:r>
      <w:r>
        <w:rPr>
          <w:rFonts w:ascii="Consolas" w:hAnsi="Consolas"/>
          <w:sz w:val="14"/>
        </w:rPr>
        <w:t xml:space="preserve">       +--&gt; validated reference/config</w:t>
        <w:br/>
      </w:r>
      <w:r>
        <w:rPr>
          <w:rFonts w:ascii="Consolas" w:hAnsi="Consolas"/>
          <w:sz w:val="14"/>
        </w:rPr>
        <w:t xml:space="preserve">       +--&gt; no network calls</w:t>
        <w:br/>
      </w:r>
      <w:r>
        <w:rPr>
          <w:rFonts w:ascii="Consolas" w:hAnsi="Consolas"/>
          <w:sz w:val="14"/>
        </w:rPr>
        <w:t xml:space="preserve">       +--&gt; no LLM</w:t>
        <w:br/>
      </w:r>
      <w:r>
        <w:rPr>
          <w:rFonts w:ascii="Consolas" w:hAnsi="Consolas"/>
          <w:sz w:val="14"/>
        </w:rPr>
        <w:t xml:space="preserve">       +--&gt; no mutable global state</w:t>
        <w:br/>
      </w:r>
      <w:r>
        <w:rPr>
          <w:rFonts w:ascii="Consolas" w:hAnsi="Consolas"/>
          <w:sz w:val="14"/>
        </w:rPr>
        <w:t xml:space="preserve">       |</w:t>
        <w:br/>
      </w:r>
      <w:r>
        <w:rPr>
          <w:rFonts w:ascii="Consolas" w:hAnsi="Consolas"/>
          <w:sz w:val="14"/>
        </w:rPr>
        <w:t xml:space="preserve">       v</w:t>
        <w:br/>
      </w:r>
      <w:r>
        <w:rPr>
          <w:rFonts w:ascii="Consolas" w:hAnsi="Consolas"/>
          <w:sz w:val="14"/>
        </w:rPr>
        <w:t>Typed CalculationResult</w:t>
        <w:br/>
      </w:r>
    </w:p>
    <w:p/>
    <w:p>
      <w:pPr>
        <w:spacing w:after="80"/>
        <w:jc w:val="left"/>
      </w:pPr>
      <w:r>
        <w:rPr>
          <w:b w:val="0"/>
          <w:i w:val="0"/>
        </w:rPr>
        <w:t>Keep the numerical functions pure wherever possible. All data retrieval belongs outside the calculation function.</w:t>
      </w:r>
    </w:p>
    <w:p>
      <w:pPr>
        <w:pStyle w:val="Heading1"/>
      </w:pPr>
      <w:r>
        <w:t>19. Calculation Result Contract</w:t>
      </w:r>
    </w:p>
    <w:p>
      <w:pPr>
        <w:ind w:left="259" w:right="259"/>
      </w:pPr>
      <w:r>
        <w:rPr>
          <w:rFonts w:ascii="Consolas" w:hAnsi="Consolas"/>
          <w:sz w:val="14"/>
        </w:rPr>
        <w:t>CalculationResult</w:t>
        <w:br/>
      </w:r>
      <w:r>
        <w:rPr>
          <w:rFonts w:ascii="Consolas" w:hAnsi="Consolas"/>
          <w:sz w:val="14"/>
        </w:rPr>
        <w:t>├── calculation_id</w:t>
        <w:br/>
      </w:r>
      <w:r>
        <w:rPr>
          <w:rFonts w:ascii="Consolas" w:hAnsi="Consolas"/>
          <w:sz w:val="14"/>
        </w:rPr>
        <w:t>├── calculation_version</w:t>
        <w:br/>
      </w:r>
      <w:r>
        <w:rPr>
          <w:rFonts w:ascii="Consolas" w:hAnsi="Consolas"/>
          <w:sz w:val="14"/>
        </w:rPr>
        <w:t>├── status</w:t>
        <w:br/>
      </w:r>
      <w:r>
        <w:rPr>
          <w:rFonts w:ascii="Consolas" w:hAnsi="Consolas"/>
          <w:sz w:val="14"/>
        </w:rPr>
        <w:t>├── asset_id</w:t>
        <w:br/>
      </w:r>
      <w:r>
        <w:rPr>
          <w:rFonts w:ascii="Consolas" w:hAnsi="Consolas"/>
          <w:sz w:val="14"/>
        </w:rPr>
        <w:t>├── executed_at</w:t>
        <w:br/>
      </w:r>
      <w:r>
        <w:rPr>
          <w:rFonts w:ascii="Consolas" w:hAnsi="Consolas"/>
          <w:sz w:val="14"/>
        </w:rPr>
        <w:t>├── inputs[]</w:t>
        <w:br/>
      </w:r>
      <w:r>
        <w:rPr>
          <w:rFonts w:ascii="Consolas" w:hAnsi="Consolas"/>
          <w:sz w:val="14"/>
        </w:rPr>
        <w:t>├── outputs[]</w:t>
        <w:br/>
      </w:r>
      <w:r>
        <w:rPr>
          <w:rFonts w:ascii="Consolas" w:hAnsi="Consolas"/>
          <w:sz w:val="14"/>
        </w:rPr>
        <w:t>├── units</w:t>
        <w:br/>
      </w:r>
      <w:r>
        <w:rPr>
          <w:rFonts w:ascii="Consolas" w:hAnsi="Consolas"/>
          <w:sz w:val="14"/>
        </w:rPr>
        <w:t>├── assumptions[]</w:t>
        <w:br/>
      </w:r>
      <w:r>
        <w:rPr>
          <w:rFonts w:ascii="Consolas" w:hAnsi="Consolas"/>
          <w:sz w:val="14"/>
        </w:rPr>
        <w:t>├── limitations[]</w:t>
        <w:br/>
      </w:r>
      <w:r>
        <w:rPr>
          <w:rFonts w:ascii="Consolas" w:hAnsi="Consolas"/>
          <w:sz w:val="14"/>
        </w:rPr>
        <w:t>├── validity[]</w:t>
        <w:br/>
      </w:r>
      <w:r>
        <w:rPr>
          <w:rFonts w:ascii="Consolas" w:hAnsi="Consolas"/>
          <w:sz w:val="14"/>
        </w:rPr>
        <w:t>├── reference_refs[]</w:t>
        <w:br/>
      </w:r>
      <w:r>
        <w:rPr>
          <w:rFonts w:ascii="Consolas" w:hAnsi="Consolas"/>
          <w:sz w:val="14"/>
        </w:rPr>
        <w:t>├── oem_data_refs[]</w:t>
        <w:br/>
      </w:r>
      <w:r>
        <w:rPr>
          <w:rFonts w:ascii="Consolas" w:hAnsi="Consolas"/>
          <w:sz w:val="14"/>
        </w:rPr>
        <w:t>├── client_policy_refs[]</w:t>
        <w:br/>
      </w:r>
      <w:r>
        <w:rPr>
          <w:rFonts w:ascii="Consolas" w:hAnsi="Consolas"/>
          <w:sz w:val="14"/>
        </w:rPr>
        <w:t>├── quality</w:t>
        <w:br/>
      </w:r>
      <w:r>
        <w:rPr>
          <w:rFonts w:ascii="Consolas" w:hAnsi="Consolas"/>
          <w:sz w:val="14"/>
        </w:rPr>
        <w:t>├── uncertainty</w:t>
        <w:br/>
      </w:r>
      <w:r>
        <w:rPr>
          <w:rFonts w:ascii="Consolas" w:hAnsi="Consolas"/>
          <w:sz w:val="14"/>
        </w:rPr>
        <w:t>└── correlation_id</w:t>
        <w:br/>
      </w:r>
    </w:p>
    <w:p/>
    <w:p>
      <w:pPr>
        <w:pStyle w:val="Heading1"/>
      </w:pPr>
      <w:r>
        <w:t>20. Example: A1 Execution</w:t>
      </w:r>
    </w:p>
    <w:p>
      <w:pPr>
        <w:ind w:left="259" w:right="259"/>
      </w:pPr>
      <w:r>
        <w:rPr>
          <w:rFonts w:ascii="Consolas" w:hAnsi="Consolas"/>
          <w:sz w:val="14"/>
        </w:rPr>
        <w:t>Inputs:</w:t>
        <w:br/>
      </w:r>
      <w:r>
        <w:rPr>
          <w:rFonts w:ascii="Consolas" w:hAnsi="Consolas"/>
          <w:sz w:val="14"/>
        </w:rPr>
        <w:t>ΔP = PDP - PIP</w:t>
        <w:br/>
      </w:r>
      <w:r>
        <w:rPr>
          <w:rFonts w:ascii="Consolas" w:hAnsi="Consolas"/>
          <w:sz w:val="14"/>
        </w:rPr>
        <w:t>SG = flowing mixture SG</w:t>
        <w:br/>
      </w:r>
      <w:r>
        <w:rPr>
          <w:rFonts w:ascii="Consolas" w:hAnsi="Consolas"/>
          <w:sz w:val="14"/>
        </w:rPr>
        <w:br/>
      </w:r>
      <w:r>
        <w:rPr>
          <w:rFonts w:ascii="Consolas" w:hAnsi="Consolas"/>
          <w:sz w:val="14"/>
        </w:rPr>
        <w:t>Validate:</w:t>
        <w:br/>
      </w:r>
      <w:r>
        <w:rPr>
          <w:rFonts w:ascii="Consolas" w:hAnsi="Consolas"/>
          <w:sz w:val="14"/>
        </w:rPr>
        <w:t>SG &gt; 0</w:t>
        <w:br/>
      </w:r>
      <w:r>
        <w:rPr>
          <w:rFonts w:ascii="Consolas" w:hAnsi="Consolas"/>
          <w:sz w:val="14"/>
        </w:rPr>
        <w:t>same asset/time window</w:t>
        <w:br/>
      </w:r>
      <w:r>
        <w:rPr>
          <w:rFonts w:ascii="Consolas" w:hAnsi="Consolas"/>
          <w:sz w:val="14"/>
        </w:rPr>
        <w:br/>
      </w:r>
      <w:r>
        <w:rPr>
          <w:rFonts w:ascii="Consolas" w:hAnsi="Consolas"/>
          <w:sz w:val="14"/>
        </w:rPr>
        <w:t>Execute:</w:t>
        <w:br/>
      </w:r>
      <w:r>
        <w:rPr>
          <w:rFonts w:ascii="Consolas" w:hAnsi="Consolas"/>
          <w:sz w:val="14"/>
        </w:rPr>
        <w:t>H_ft = (ΔP_psi × 2.31) / SG</w:t>
        <w:br/>
      </w:r>
      <w:r>
        <w:rPr>
          <w:rFonts w:ascii="Consolas" w:hAnsi="Consolas"/>
          <w:sz w:val="14"/>
        </w:rPr>
        <w:br/>
      </w:r>
      <w:r>
        <w:rPr>
          <w:rFonts w:ascii="Consolas" w:hAnsi="Consolas"/>
          <w:sz w:val="14"/>
        </w:rPr>
        <w:t>Return:</w:t>
        <w:br/>
      </w:r>
      <w:r>
        <w:rPr>
          <w:rFonts w:ascii="Consolas" w:hAnsi="Consolas"/>
          <w:sz w:val="14"/>
        </w:rPr>
        <w:t>head_ft</w:t>
        <w:br/>
      </w:r>
      <w:r>
        <w:rPr>
          <w:rFonts w:ascii="Consolas" w:hAnsi="Consolas"/>
          <w:sz w:val="14"/>
        </w:rPr>
        <w:t>formula_id = A1_HEAD_PRESSURE_CONVERSION</w:t>
        <w:br/>
      </w:r>
      <w:r>
        <w:rPr>
          <w:rFonts w:ascii="Consolas" w:hAnsi="Consolas"/>
          <w:sz w:val="14"/>
        </w:rPr>
        <w:t>status = VALID</w:t>
        <w:br/>
      </w:r>
      <w:r>
        <w:rPr>
          <w:rFonts w:ascii="Consolas" w:hAnsi="Consolas"/>
          <w:sz w:val="14"/>
        </w:rPr>
        <w:t>provenance = ...</w:t>
        <w:br/>
      </w:r>
    </w:p>
    <w:p/>
    <w:p>
      <w:pPr>
        <w:spacing w:after="80"/>
        <w:jc w:val="left"/>
      </w:pPr>
      <w:r>
        <w:rPr>
          <w:b w:val="0"/>
          <w:i w:val="0"/>
        </w:rPr>
        <w:t>A1 is explicitly defined as a fundamental fluid-statics conversion and is marked ready, while missing SG must fail closed. [engineering_calculation_registry.yaml, lines 18–34]</w:t>
      </w:r>
    </w:p>
    <w:p>
      <w:pPr>
        <w:pStyle w:val="Heading1"/>
      </w:pPr>
      <w:r>
        <w:t>21. Example: B1 OEM Pump Curve</w:t>
      </w:r>
    </w:p>
    <w:p>
      <w:pPr>
        <w:ind w:left="259" w:right="259"/>
      </w:pPr>
      <w:r>
        <w:rPr>
          <w:rFonts w:ascii="Consolas" w:hAnsi="Consolas"/>
          <w:sz w:val="14"/>
        </w:rPr>
        <w:t>Input:</w:t>
        <w:br/>
      </w:r>
      <w:r>
        <w:rPr>
          <w:rFonts w:ascii="Consolas" w:hAnsi="Consolas"/>
          <w:sz w:val="14"/>
        </w:rPr>
        <w:t>pump_model_id</w:t>
        <w:br/>
      </w:r>
      <w:r>
        <w:rPr>
          <w:rFonts w:ascii="Consolas" w:hAnsi="Consolas"/>
          <w:sz w:val="14"/>
        </w:rPr>
        <w:t>stage_count</w:t>
        <w:br/>
      </w:r>
      <w:r>
        <w:rPr>
          <w:rFonts w:ascii="Consolas" w:hAnsi="Consolas"/>
          <w:sz w:val="14"/>
        </w:rPr>
        <w:t>base_frequency</w:t>
        <w:br/>
      </w:r>
      <w:r>
        <w:rPr>
          <w:rFonts w:ascii="Consolas" w:hAnsi="Consolas"/>
          <w:sz w:val="14"/>
        </w:rPr>
        <w:t>target_Q</w:t>
        <w:br/>
      </w:r>
      <w:r>
        <w:rPr>
          <w:rFonts w:ascii="Consolas" w:hAnsi="Consolas"/>
          <w:sz w:val="14"/>
        </w:rPr>
        <w:br/>
      </w:r>
      <w:r>
        <w:rPr>
          <w:rFonts w:ascii="Consolas" w:hAnsi="Consolas"/>
          <w:sz w:val="14"/>
        </w:rPr>
        <w:t>Resolve:</w:t>
        <w:br/>
      </w:r>
      <w:r>
        <w:rPr>
          <w:rFonts w:ascii="Consolas" w:hAnsi="Consolas"/>
          <w:sz w:val="14"/>
        </w:rPr>
        <w:t>exact OEM curve</w:t>
        <w:br/>
      </w:r>
      <w:r>
        <w:rPr>
          <w:rFonts w:ascii="Consolas" w:hAnsi="Consolas"/>
          <w:sz w:val="14"/>
        </w:rPr>
        <w:br/>
      </w:r>
      <w:r>
        <w:rPr>
          <w:rFonts w:ascii="Consolas" w:hAnsi="Consolas"/>
          <w:sz w:val="14"/>
        </w:rPr>
        <w:t>Validate:</w:t>
        <w:br/>
      </w:r>
      <w:r>
        <w:rPr>
          <w:rFonts w:ascii="Consolas" w:hAnsi="Consolas"/>
          <w:sz w:val="14"/>
        </w:rPr>
        <w:t>target_Q within published curve range</w:t>
        <w:br/>
      </w:r>
      <w:r>
        <w:rPr>
          <w:rFonts w:ascii="Consolas" w:hAnsi="Consolas"/>
          <w:sz w:val="14"/>
        </w:rPr>
        <w:br/>
      </w:r>
      <w:r>
        <w:rPr>
          <w:rFonts w:ascii="Consolas" w:hAnsi="Consolas"/>
          <w:sz w:val="14"/>
        </w:rPr>
        <w:t>Interpolate:</w:t>
        <w:br/>
      </w:r>
      <w:r>
        <w:rPr>
          <w:rFonts w:ascii="Consolas" w:hAnsi="Consolas"/>
          <w:sz w:val="14"/>
        </w:rPr>
        <w:t>H, efficiency, BHP</w:t>
        <w:br/>
      </w:r>
      <w:r>
        <w:rPr>
          <w:rFonts w:ascii="Consolas" w:hAnsi="Consolas"/>
          <w:sz w:val="14"/>
        </w:rPr>
        <w:br/>
      </w:r>
      <w:r>
        <w:rPr>
          <w:rFonts w:ascii="Consolas" w:hAnsi="Consolas"/>
          <w:sz w:val="14"/>
        </w:rPr>
        <w:t>If no exact curve:</w:t>
        <w:br/>
      </w:r>
      <w:r>
        <w:rPr>
          <w:rFonts w:ascii="Consolas" w:hAnsi="Consolas"/>
          <w:sz w:val="14"/>
        </w:rPr>
        <w:t>BLOCK</w:t>
        <w:br/>
      </w:r>
      <w:r>
        <w:rPr>
          <w:rFonts w:ascii="Consolas" w:hAnsi="Consolas"/>
          <w:sz w:val="14"/>
        </w:rPr>
        <w:t>REQUIRES_OEM_DATA</w:t>
        <w:br/>
      </w:r>
      <w:r>
        <w:rPr>
          <w:rFonts w:ascii="Consolas" w:hAnsi="Consolas"/>
          <w:sz w:val="14"/>
        </w:rPr>
        <w:br/>
      </w:r>
      <w:r>
        <w:rPr>
          <w:rFonts w:ascii="Consolas" w:hAnsi="Consolas"/>
          <w:sz w:val="14"/>
        </w:rPr>
        <w:t>Never:</w:t>
        <w:br/>
      </w:r>
      <w:r>
        <w:rPr>
          <w:rFonts w:ascii="Consolas" w:hAnsi="Consolas"/>
          <w:sz w:val="14"/>
        </w:rPr>
        <w:t>substitute a "similar" pump curve silently</w:t>
        <w:br/>
      </w:r>
    </w:p>
    <w:p/>
    <w:p>
      <w:pPr>
        <w:spacing w:after="80"/>
        <w:jc w:val="left"/>
      </w:pPr>
      <w:r>
        <w:rPr>
          <w:b w:val="0"/>
          <w:i w:val="0"/>
        </w:rPr>
        <w:t>This fail-closed behavior is explicit in B1. [engineering_calculation_registry.yaml, lines 105–119]</w:t>
      </w:r>
    </w:p>
    <w:p>
      <w:pPr>
        <w:pStyle w:val="Heading1"/>
      </w:pPr>
      <w:r>
        <w:t>22. Example: C1 System Operating Point</w:t>
      </w:r>
    </w:p>
    <w:p>
      <w:pPr>
        <w:ind w:left="259" w:right="259"/>
      </w:pPr>
      <w:r>
        <w:rPr>
          <w:rFonts w:ascii="Consolas" w:hAnsi="Consolas"/>
          <w:sz w:val="14"/>
        </w:rPr>
        <w:t>Reservoir pressure</w:t>
        <w:br/>
      </w:r>
      <w:r>
        <w:rPr>
          <w:rFonts w:ascii="Consolas" w:hAnsi="Consolas"/>
          <w:sz w:val="14"/>
        </w:rPr>
        <w:t>+ IPR model + parameters</w:t>
        <w:br/>
      </w:r>
      <w:r>
        <w:rPr>
          <w:rFonts w:ascii="Consolas" w:hAnsi="Consolas"/>
          <w:sz w:val="14"/>
        </w:rPr>
        <w:t>+ well geometry</w:t>
        <w:br/>
      </w:r>
      <w:r>
        <w:rPr>
          <w:rFonts w:ascii="Consolas" w:hAnsi="Consolas"/>
          <w:sz w:val="14"/>
        </w:rPr>
        <w:t>+ PVT</w:t>
        <w:br/>
      </w:r>
      <w:r>
        <w:rPr>
          <w:rFonts w:ascii="Consolas" w:hAnsi="Consolas"/>
          <w:sz w:val="14"/>
        </w:rPr>
        <w:t>+ pump curve</w:t>
        <w:br/>
      </w:r>
      <w:r>
        <w:rPr>
          <w:rFonts w:ascii="Consolas" w:hAnsi="Consolas"/>
          <w:sz w:val="14"/>
        </w:rPr>
        <w:t>+ frequency</w:t>
        <w:br/>
      </w:r>
      <w:r>
        <w:rPr>
          <w:rFonts w:ascii="Consolas" w:hAnsi="Consolas"/>
          <w:sz w:val="14"/>
        </w:rPr>
        <w:t xml:space="preserve">          |</w:t>
        <w:br/>
      </w:r>
      <w:r>
        <w:rPr>
          <w:rFonts w:ascii="Consolas" w:hAnsi="Consolas"/>
          <w:sz w:val="14"/>
        </w:rPr>
        <w:t xml:space="preserve">          v</w:t>
        <w:br/>
      </w:r>
      <w:r>
        <w:rPr>
          <w:rFonts w:ascii="Consolas" w:hAnsi="Consolas"/>
          <w:sz w:val="14"/>
        </w:rPr>
        <w:t>Iterative Q solution:</w:t>
        <w:br/>
      </w:r>
      <w:r>
        <w:rPr>
          <w:rFonts w:ascii="Consolas" w:hAnsi="Consolas"/>
          <w:sz w:val="14"/>
        </w:rPr>
        <w:t>P_IPR(Q) = P_VLP(Q)</w:t>
        <w:br/>
      </w:r>
      <w:r>
        <w:rPr>
          <w:rFonts w:ascii="Consolas" w:hAnsi="Consolas"/>
          <w:sz w:val="14"/>
        </w:rPr>
        <w:t xml:space="preserve">          |</w:t>
        <w:br/>
      </w:r>
      <w:r>
        <w:rPr>
          <w:rFonts w:ascii="Consolas" w:hAnsi="Consolas"/>
          <w:sz w:val="14"/>
        </w:rPr>
        <w:t xml:space="preserve">          v</w:t>
        <w:br/>
      </w:r>
      <w:r>
        <w:rPr>
          <w:rFonts w:ascii="Consolas" w:hAnsi="Consolas"/>
          <w:sz w:val="14"/>
        </w:rPr>
        <w:t>Q_operating_bpd</w:t>
        <w:br/>
      </w:r>
      <w:r>
        <w:rPr>
          <w:rFonts w:ascii="Consolas" w:hAnsi="Consolas"/>
          <w:sz w:val="14"/>
        </w:rPr>
        <w:t>PIP_psi</w:t>
        <w:br/>
      </w:r>
    </w:p>
    <w:p/>
    <w:p>
      <w:pPr>
        <w:spacing w:after="80"/>
        <w:jc w:val="left"/>
      </w:pPr>
      <w:r>
        <w:rPr>
          <w:b w:val="0"/>
          <w:i w:val="0"/>
        </w:rPr>
        <w:t>C1 is deliberately marked as requiring client/engineering selection of the IPR and multiphase-flow correlation; the service must not default silently to a single model. [engineering_calculation_registry.yaml, lines 154–168]</w:t>
      </w:r>
    </w:p>
    <w:p>
      <w:pPr>
        <w:pStyle w:val="Heading1"/>
      </w:pPr>
      <w:r>
        <w:t>23. Unit and Semantic Validation</w:t>
      </w:r>
    </w:p>
    <w:p>
      <w:pPr>
        <w:pStyle w:val="ListBullet"/>
        <w:spacing w:after="20"/>
      </w:pPr>
      <w:r>
        <w:t>Check every input unit before calculation.</w:t>
      </w:r>
    </w:p>
    <w:p>
      <w:pPr>
        <w:pStyle w:val="ListBullet"/>
        <w:spacing w:after="20"/>
      </w:pPr>
      <w:r>
        <w:t>Do not silently convert ambiguous sensor units.</w:t>
      </w:r>
    </w:p>
    <w:p>
      <w:pPr>
        <w:pStyle w:val="ListBullet"/>
        <w:spacing w:after="20"/>
      </w:pPr>
      <w:r>
        <w:t>Track per-stage versus total-stack quantities for pump data.</w:t>
      </w:r>
    </w:p>
    <w:p>
      <w:pPr>
        <w:pStyle w:val="ListBullet"/>
        <w:spacing w:after="20"/>
      </w:pPr>
      <w:r>
        <w:t>Track standard-condition versus flowing-condition volume semantics.</w:t>
      </w:r>
    </w:p>
    <w:p>
      <w:pPr>
        <w:pStyle w:val="ListBullet"/>
        <w:spacing w:after="20"/>
      </w:pPr>
      <w:r>
        <w:t>Ensure frequency/base-frequency pairs use a consistent basis.</w:t>
      </w:r>
    </w:p>
    <w:p>
      <w:pPr>
        <w:pStyle w:val="ListBullet"/>
        <w:spacing w:after="20"/>
      </w:pPr>
      <w:r>
        <w:t>Ensure current and rated current use the same phase/reference basis.</w:t>
      </w:r>
    </w:p>
    <w:p>
      <w:pPr>
        <w:pStyle w:val="ListBullet"/>
        <w:spacing w:after="20"/>
      </w:pPr>
      <w:r>
        <w:t>Attach the transformed/normalized input to the audit record.</w:t>
      </w:r>
    </w:p>
    <w:p>
      <w:pPr>
        <w:pStyle w:val="Heading1"/>
      </w:pPr>
      <w:r>
        <w:t>24. Failure-Closed Rules</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Condition</w:t>
            </w:r>
          </w:p>
        </w:tc>
        <w:tc>
          <w:tcPr>
            <w:tcW w:type="dxa" w:w="5227"/>
            <w:shd w:fill="D9EAF7"/>
          </w:tcPr>
          <w:p>
            <w:r>
              <w:rPr>
                <w:b/>
                <w:sz w:val="14"/>
              </w:rPr>
              <w:t>Required behavior</w:t>
            </w:r>
          </w:p>
        </w:tc>
      </w:tr>
      <w:tr>
        <w:tc>
          <w:tcPr>
            <w:tcW w:type="dxa" w:w="5227"/>
            <w:vAlign w:val="center"/>
          </w:tcPr>
          <w:p>
            <w:r>
              <w:rPr>
                <w:sz w:val="14"/>
              </w:rPr>
              <w:t>Missing SG for A1</w:t>
            </w:r>
          </w:p>
        </w:tc>
        <w:tc>
          <w:tcPr>
            <w:tcW w:type="dxa" w:w="5227"/>
            <w:vAlign w:val="center"/>
          </w:tcPr>
          <w:p>
            <w:r>
              <w:rPr>
                <w:sz w:val="14"/>
              </w:rPr>
              <w:t>Reject; no default SG=1.0</w:t>
            </w:r>
          </w:p>
        </w:tc>
      </w:tr>
      <w:tr>
        <w:tc>
          <w:tcPr>
            <w:tcW w:type="dxa" w:w="5227"/>
            <w:vAlign w:val="center"/>
          </w:tcPr>
          <w:p>
            <w:r>
              <w:rPr>
                <w:sz w:val="14"/>
              </w:rPr>
              <w:t>Missing base frequency for A4</w:t>
            </w:r>
          </w:p>
        </w:tc>
        <w:tc>
          <w:tcPr>
            <w:tcW w:type="dxa" w:w="5227"/>
            <w:vAlign w:val="center"/>
          </w:tcPr>
          <w:p>
            <w:r>
              <w:rPr>
                <w:sz w:val="14"/>
              </w:rPr>
              <w:t>Reject; do not assume 60 Hz</w:t>
            </w:r>
          </w:p>
        </w:tc>
      </w:tr>
      <w:tr>
        <w:tc>
          <w:tcPr>
            <w:tcW w:type="dxa" w:w="5227"/>
            <w:vAlign w:val="center"/>
          </w:tcPr>
          <w:p>
            <w:r>
              <w:rPr>
                <w:sz w:val="14"/>
              </w:rPr>
              <w:t>No OEM curve for B1</w:t>
            </w:r>
          </w:p>
        </w:tc>
        <w:tc>
          <w:tcPr>
            <w:tcW w:type="dxa" w:w="5227"/>
            <w:vAlign w:val="center"/>
          </w:tcPr>
          <w:p>
            <w:r>
              <w:rPr>
                <w:sz w:val="14"/>
              </w:rPr>
              <w:t>Reject; no similar-pump substitution</w:t>
            </w:r>
          </w:p>
        </w:tc>
      </w:tr>
      <w:tr>
        <w:tc>
          <w:tcPr>
            <w:tcW w:type="dxa" w:w="5227"/>
            <w:vAlign w:val="center"/>
          </w:tcPr>
          <w:p>
            <w:r>
              <w:rPr>
                <w:sz w:val="14"/>
              </w:rPr>
              <w:t>No motor OEM data for B2</w:t>
            </w:r>
          </w:p>
        </w:tc>
        <w:tc>
          <w:tcPr>
            <w:tcW w:type="dxa" w:w="5227"/>
            <w:vAlign w:val="center"/>
          </w:tcPr>
          <w:p>
            <w:r>
              <w:rPr>
                <w:sz w:val="14"/>
              </w:rPr>
              <w:t>Reject</w:t>
            </w:r>
          </w:p>
        </w:tc>
      </w:tr>
      <w:tr>
        <w:tc>
          <w:tcPr>
            <w:tcW w:type="dxa" w:w="5227"/>
            <w:vAlign w:val="center"/>
          </w:tcPr>
          <w:p>
            <w:r>
              <w:rPr>
                <w:sz w:val="14"/>
              </w:rPr>
              <w:t>No cable spec for B3</w:t>
            </w:r>
          </w:p>
        </w:tc>
        <w:tc>
          <w:tcPr>
            <w:tcW w:type="dxa" w:w="5227"/>
            <w:vAlign w:val="center"/>
          </w:tcPr>
          <w:p>
            <w:r>
              <w:rPr>
                <w:sz w:val="14"/>
              </w:rPr>
              <w:t>Reject</w:t>
            </w:r>
          </w:p>
        </w:tc>
      </w:tr>
      <w:tr>
        <w:tc>
          <w:tcPr>
            <w:tcW w:type="dxa" w:w="5227"/>
            <w:vAlign w:val="center"/>
          </w:tcPr>
          <w:p>
            <w:r>
              <w:rPr>
                <w:sz w:val="14"/>
              </w:rPr>
              <w:t>No IPR selection for C1</w:t>
            </w:r>
          </w:p>
        </w:tc>
        <w:tc>
          <w:tcPr>
            <w:tcW w:type="dxa" w:w="5227"/>
            <w:vAlign w:val="center"/>
          </w:tcPr>
          <w:p>
            <w:r>
              <w:rPr>
                <w:sz w:val="14"/>
              </w:rPr>
              <w:t>Reject / engineering review</w:t>
            </w:r>
          </w:p>
        </w:tc>
      </w:tr>
      <w:tr>
        <w:tc>
          <w:tcPr>
            <w:tcW w:type="dxa" w:w="5227"/>
            <w:vAlign w:val="center"/>
          </w:tcPr>
          <w:p>
            <w:r>
              <w:rPr>
                <w:sz w:val="14"/>
              </w:rPr>
              <w:t>No PVT model for D2</w:t>
            </w:r>
          </w:p>
        </w:tc>
        <w:tc>
          <w:tcPr>
            <w:tcW w:type="dxa" w:w="5227"/>
            <w:vAlign w:val="center"/>
          </w:tcPr>
          <w:p>
            <w:r>
              <w:rPr>
                <w:sz w:val="14"/>
              </w:rPr>
              <w:t>Reject</w:t>
            </w:r>
          </w:p>
        </w:tc>
      </w:tr>
      <w:tr>
        <w:tc>
          <w:tcPr>
            <w:tcW w:type="dxa" w:w="5227"/>
            <w:vAlign w:val="center"/>
          </w:tcPr>
          <w:p>
            <w:r>
              <w:rPr>
                <w:sz w:val="14"/>
              </w:rPr>
              <w:t>No approved gas-handling model for D3</w:t>
            </w:r>
          </w:p>
        </w:tc>
        <w:tc>
          <w:tcPr>
            <w:tcW w:type="dxa" w:w="5227"/>
            <w:vAlign w:val="center"/>
          </w:tcPr>
          <w:p>
            <w:r>
              <w:rPr>
                <w:sz w:val="14"/>
              </w:rPr>
              <w:t>Do not run</w:t>
            </w:r>
          </w:p>
        </w:tc>
      </w:tr>
      <w:tr>
        <w:tc>
          <w:tcPr>
            <w:tcW w:type="dxa" w:w="5227"/>
            <w:vAlign w:val="center"/>
          </w:tcPr>
          <w:p>
            <w:r>
              <w:rPr>
                <w:sz w:val="14"/>
              </w:rPr>
              <w:t>No ROR for E1</w:t>
            </w:r>
          </w:p>
        </w:tc>
        <w:tc>
          <w:tcPr>
            <w:tcW w:type="dxa" w:w="5227"/>
            <w:vAlign w:val="center"/>
          </w:tcPr>
          <w:p>
            <w:r>
              <w:rPr>
                <w:sz w:val="14"/>
              </w:rPr>
              <w:t>Do not run</w:t>
            </w:r>
          </w:p>
        </w:tc>
      </w:tr>
      <w:tr>
        <w:tc>
          <w:tcPr>
            <w:tcW w:type="dxa" w:w="5227"/>
            <w:vAlign w:val="center"/>
          </w:tcPr>
          <w:p>
            <w:r>
              <w:rPr>
                <w:sz w:val="14"/>
              </w:rPr>
              <w:t>No vibration limit for E2</w:t>
            </w:r>
          </w:p>
        </w:tc>
        <w:tc>
          <w:tcPr>
            <w:tcW w:type="dxa" w:w="5227"/>
            <w:vAlign w:val="center"/>
          </w:tcPr>
          <w:p>
            <w:r>
              <w:rPr>
                <w:sz w:val="14"/>
              </w:rPr>
              <w:t>Fail closed</w:t>
            </w:r>
          </w:p>
        </w:tc>
      </w:tr>
      <w:tr>
        <w:tc>
          <w:tcPr>
            <w:tcW w:type="dxa" w:w="5227"/>
            <w:vAlign w:val="center"/>
          </w:tcPr>
          <w:p>
            <w:r>
              <w:rPr>
                <w:sz w:val="14"/>
              </w:rPr>
              <w:t>No temperature limit for E3</w:t>
            </w:r>
          </w:p>
        </w:tc>
        <w:tc>
          <w:tcPr>
            <w:tcW w:type="dxa" w:w="5227"/>
            <w:vAlign w:val="center"/>
          </w:tcPr>
          <w:p>
            <w:r>
              <w:rPr>
                <w:sz w:val="14"/>
              </w:rPr>
              <w:t>Fail closed</w:t>
            </w:r>
          </w:p>
        </w:tc>
      </w:tr>
      <w:tr>
        <w:tc>
          <w:tcPr>
            <w:tcW w:type="dxa" w:w="5227"/>
            <w:vAlign w:val="center"/>
          </w:tcPr>
          <w:p>
            <w:r>
              <w:rPr>
                <w:sz w:val="14"/>
              </w:rPr>
              <w:t>Sparse trend data for F1</w:t>
            </w:r>
          </w:p>
        </w:tc>
        <w:tc>
          <w:tcPr>
            <w:tcW w:type="dxa" w:w="5227"/>
            <w:vAlign w:val="center"/>
          </w:tcPr>
          <w:p>
            <w:r>
              <w:rPr>
                <w:sz w:val="14"/>
              </w:rPr>
              <w:t>Return insufficient_data, not misleading slope</w:t>
            </w:r>
          </w:p>
        </w:tc>
      </w:tr>
    </w:tbl>
    <w:p/>
    <w:p>
      <w:pPr>
        <w:spacing w:after="80"/>
        <w:jc w:val="left"/>
      </w:pPr>
      <w:r>
        <w:rPr>
          <w:b w:val="0"/>
          <w:i w:val="0"/>
        </w:rPr>
        <w:t>These rules are directly reflected in the calculation registry and fail-closed test cases. [engineering_calculation_registry.yaml; engineering_test_cases.yaml]</w:t>
      </w:r>
    </w:p>
    <w:p>
      <w:pPr>
        <w:pStyle w:val="Heading1"/>
      </w:pPr>
      <w:r>
        <w:t>25. Test Architecture</w:t>
      </w:r>
    </w:p>
    <w:p>
      <w:pPr>
        <w:ind w:left="259" w:right="259"/>
      </w:pPr>
      <w:r>
        <w:rPr>
          <w:rFonts w:ascii="Consolas" w:hAnsi="Consolas"/>
          <w:sz w:val="14"/>
        </w:rPr>
        <w:t>UNIT TESTS</w:t>
        <w:br/>
      </w:r>
      <w:r>
        <w:rPr>
          <w:rFonts w:ascii="Consolas" w:hAnsi="Consolas"/>
          <w:sz w:val="14"/>
        </w:rPr>
        <w:t xml:space="preserve">  |</w:t>
        <w:br/>
      </w:r>
      <w:r>
        <w:rPr>
          <w:rFonts w:ascii="Consolas" w:hAnsi="Consolas"/>
          <w:sz w:val="14"/>
        </w:rPr>
        <w:t xml:space="preserve">  +--&gt; calculation math</w:t>
        <w:br/>
      </w:r>
      <w:r>
        <w:rPr>
          <w:rFonts w:ascii="Consolas" w:hAnsi="Consolas"/>
          <w:sz w:val="14"/>
        </w:rPr>
        <w:t xml:space="preserve">  +--&gt; validation</w:t>
        <w:br/>
      </w:r>
      <w:r>
        <w:rPr>
          <w:rFonts w:ascii="Consolas" w:hAnsi="Consolas"/>
          <w:sz w:val="14"/>
        </w:rPr>
        <w:t xml:space="preserve">  +--&gt; unit conversion</w:t>
        <w:br/>
      </w:r>
      <w:r>
        <w:rPr>
          <w:rFonts w:ascii="Consolas" w:hAnsi="Consolas"/>
          <w:sz w:val="14"/>
        </w:rPr>
        <w:t xml:space="preserve">  +--&gt; failure conditions</w:t>
        <w:br/>
      </w:r>
      <w:r>
        <w:rPr>
          <w:rFonts w:ascii="Consolas" w:hAnsi="Consolas"/>
          <w:sz w:val="14"/>
        </w:rPr>
        <w:t xml:space="preserve">  |</w:t>
        <w:br/>
      </w:r>
      <w:r>
        <w:rPr>
          <w:rFonts w:ascii="Consolas" w:hAnsi="Consolas"/>
          <w:sz w:val="14"/>
        </w:rPr>
        <w:t>INTEGRATION</w:t>
        <w:br/>
      </w:r>
      <w:r>
        <w:rPr>
          <w:rFonts w:ascii="Consolas" w:hAnsi="Consolas"/>
          <w:sz w:val="14"/>
        </w:rPr>
        <w:t xml:space="preserve">  |</w:t>
        <w:br/>
      </w:r>
      <w:r>
        <w:rPr>
          <w:rFonts w:ascii="Consolas" w:hAnsi="Consolas"/>
          <w:sz w:val="14"/>
        </w:rPr>
        <w:t xml:space="preserve">  +--&gt; registry + input schema + reference resolver</w:t>
        <w:br/>
      </w:r>
      <w:r>
        <w:rPr>
          <w:rFonts w:ascii="Consolas" w:hAnsi="Consolas"/>
          <w:sz w:val="14"/>
        </w:rPr>
        <w:t xml:space="preserve">  +--&gt; OEM data lookup</w:t>
        <w:br/>
      </w:r>
      <w:r>
        <w:rPr>
          <w:rFonts w:ascii="Consolas" w:hAnsi="Consolas"/>
          <w:sz w:val="14"/>
        </w:rPr>
        <w:t xml:space="preserve">  +--&gt; Asset Context / Telemetry</w:t>
        <w:br/>
      </w:r>
      <w:r>
        <w:rPr>
          <w:rFonts w:ascii="Consolas" w:hAnsi="Consolas"/>
          <w:sz w:val="14"/>
        </w:rPr>
        <w:t xml:space="preserve">  |</w:t>
        <w:br/>
      </w:r>
      <w:r>
        <w:rPr>
          <w:rFonts w:ascii="Consolas" w:hAnsi="Consolas"/>
          <w:sz w:val="14"/>
        </w:rPr>
        <w:t>CONTRACT</w:t>
        <w:br/>
      </w:r>
      <w:r>
        <w:rPr>
          <w:rFonts w:ascii="Consolas" w:hAnsi="Consolas"/>
          <w:sz w:val="14"/>
        </w:rPr>
        <w:t xml:space="preserve">  |</w:t>
        <w:br/>
      </w:r>
      <w:r>
        <w:rPr>
          <w:rFonts w:ascii="Consolas" w:hAnsi="Consolas"/>
          <w:sz w:val="14"/>
        </w:rPr>
        <w:t xml:space="preserve">  +--&gt; REST</w:t>
        <w:br/>
      </w:r>
      <w:r>
        <w:rPr>
          <w:rFonts w:ascii="Consolas" w:hAnsi="Consolas"/>
          <w:sz w:val="14"/>
        </w:rPr>
        <w:t xml:space="preserve">  +--&gt; Agent Tool</w:t>
        <w:br/>
      </w:r>
      <w:r>
        <w:rPr>
          <w:rFonts w:ascii="Consolas" w:hAnsi="Consolas"/>
          <w:sz w:val="14"/>
        </w:rPr>
        <w:t xml:space="preserve">  |</w:t>
        <w:br/>
      </w:r>
      <w:r>
        <w:rPr>
          <w:rFonts w:ascii="Consolas" w:hAnsi="Consolas"/>
          <w:sz w:val="14"/>
        </w:rPr>
        <w:t>E2E</w:t>
        <w:br/>
      </w:r>
      <w:r>
        <w:rPr>
          <w:rFonts w:ascii="Consolas" w:hAnsi="Consolas"/>
          <w:sz w:val="14"/>
        </w:rPr>
        <w:t xml:space="preserve">  |</w:t>
        <w:br/>
      </w:r>
      <w:r>
        <w:rPr>
          <w:rFonts w:ascii="Consolas" w:hAnsi="Consolas"/>
          <w:sz w:val="14"/>
        </w:rPr>
        <w:t xml:space="preserve">  +--&gt; Agent → Engineering Tool → Service → Result → Evidence → UI</w:t>
        <w:br/>
      </w:r>
    </w:p>
    <w:p/>
    <w:p>
      <w:pPr>
        <w:pStyle w:val="Heading1"/>
      </w:pPr>
      <w:r>
        <w:t>26. Existing Test Assets</w:t>
      </w:r>
    </w:p>
    <w:p>
      <w:pPr>
        <w:spacing w:after="80"/>
        <w:jc w:val="left"/>
      </w:pPr>
      <w:r>
        <w:rPr>
          <w:b w:val="0"/>
          <w:i w:val="0"/>
        </w:rPr>
        <w:t>The supplied test file already provides synthetic arithmetic checks for A1, A2, D4 and G2, plus explicit failure-mode checks and real-data placeholders.</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4"/>
              </w:rPr>
              <w:t>Test category</w:t>
            </w:r>
          </w:p>
        </w:tc>
        <w:tc>
          <w:tcPr>
            <w:tcW w:type="dxa" w:w="3485"/>
            <w:shd w:fill="D9EAF7"/>
          </w:tcPr>
          <w:p>
            <w:r>
              <w:rPr>
                <w:b/>
                <w:sz w:val="14"/>
              </w:rPr>
              <w:t>Examples</w:t>
            </w:r>
          </w:p>
        </w:tc>
        <w:tc>
          <w:tcPr>
            <w:tcW w:type="dxa" w:w="3485"/>
            <w:shd w:fill="D9EAF7"/>
          </w:tcPr>
          <w:p>
            <w:r>
              <w:rPr>
                <w:b/>
                <w:sz w:val="14"/>
              </w:rPr>
              <w:t>Meaning</w:t>
            </w:r>
          </w:p>
        </w:tc>
      </w:tr>
      <w:tr>
        <w:tc>
          <w:tcPr>
            <w:tcW w:type="dxa" w:w="3485"/>
            <w:vAlign w:val="center"/>
          </w:tcPr>
          <w:p>
            <w:r>
              <w:rPr>
                <w:sz w:val="14"/>
              </w:rPr>
              <w:t>Synthetic arithmetic</w:t>
            </w:r>
          </w:p>
        </w:tc>
        <w:tc>
          <w:tcPr>
            <w:tcW w:type="dxa" w:w="3485"/>
            <w:vAlign w:val="center"/>
          </w:tcPr>
          <w:p>
            <w:r>
              <w:rPr>
                <w:sz w:val="14"/>
              </w:rPr>
              <w:t>A1, A2, D4, G2</w:t>
            </w:r>
          </w:p>
        </w:tc>
        <w:tc>
          <w:tcPr>
            <w:tcW w:type="dxa" w:w="3485"/>
            <w:vAlign w:val="center"/>
          </w:tcPr>
          <w:p>
            <w:r>
              <w:rPr>
                <w:sz w:val="14"/>
              </w:rPr>
              <w:t>Tests deterministic arithmetic only; values are not field truth.</w:t>
            </w:r>
          </w:p>
        </w:tc>
      </w:tr>
      <w:tr>
        <w:tc>
          <w:tcPr>
            <w:tcW w:type="dxa" w:w="3485"/>
            <w:vAlign w:val="center"/>
          </w:tcPr>
          <w:p>
            <w:r>
              <w:rPr>
                <w:sz w:val="14"/>
              </w:rPr>
              <w:t>Failure-mode</w:t>
            </w:r>
          </w:p>
        </w:tc>
        <w:tc>
          <w:tcPr>
            <w:tcW w:type="dxa" w:w="3485"/>
            <w:vAlign w:val="center"/>
          </w:tcPr>
          <w:p>
            <w:r>
              <w:rPr>
                <w:sz w:val="14"/>
              </w:rPr>
              <w:t>Missing SG, missing base frequency, missing ROR, missing gas model</w:t>
            </w:r>
          </w:p>
        </w:tc>
        <w:tc>
          <w:tcPr>
            <w:tcW w:type="dxa" w:w="3485"/>
            <w:vAlign w:val="center"/>
          </w:tcPr>
          <w:p>
            <w:r>
              <w:rPr>
                <w:sz w:val="14"/>
              </w:rPr>
              <w:t>Tests fail-closed behavior.</w:t>
            </w:r>
          </w:p>
        </w:tc>
      </w:tr>
      <w:tr>
        <w:tc>
          <w:tcPr>
            <w:tcW w:type="dxa" w:w="3485"/>
            <w:vAlign w:val="center"/>
          </w:tcPr>
          <w:p>
            <w:r>
              <w:rPr>
                <w:sz w:val="14"/>
              </w:rPr>
              <w:t>Real-data placeholders</w:t>
            </w:r>
          </w:p>
        </w:tc>
        <w:tc>
          <w:tcPr>
            <w:tcW w:type="dxa" w:w="3485"/>
            <w:vAlign w:val="center"/>
          </w:tcPr>
          <w:p>
            <w:r>
              <w:rPr>
                <w:sz w:val="14"/>
              </w:rPr>
              <w:t>B1/B2/B3/C1/D1/D2/D3/E1/E2/E3/F1/F2/F3/G1/G3</w:t>
            </w:r>
          </w:p>
        </w:tc>
        <w:tc>
          <w:tcPr>
            <w:tcW w:type="dxa" w:w="3485"/>
            <w:vAlign w:val="center"/>
          </w:tcPr>
          <w:p>
            <w:r>
              <w:rPr>
                <w:sz w:val="14"/>
              </w:rPr>
              <w:t>Defines exactly what real OEM/client/asset data is needed before numeric validation.</w:t>
            </w:r>
          </w:p>
        </w:tc>
      </w:tr>
    </w:tbl>
    <w:p/>
    <w:p>
      <w:pPr>
        <w:spacing w:after="80"/>
        <w:jc w:val="left"/>
      </w:pPr>
      <w:r>
        <w:rPr>
          <w:b w:val="0"/>
          <w:i w:val="0"/>
        </w:rPr>
        <w:t>The test file explicitly warns that synthetic cases are not real field/asset reference cases and that the placeholder cases must be populated from actual OEM/lab/client data. [engineering_test_cases.yaml, lines 615–630]</w:t>
      </w:r>
    </w:p>
    <w:p>
      <w:pPr>
        <w:pStyle w:val="Heading1"/>
      </w:pPr>
      <w:r>
        <w:t>27. Real Engineering Validation Test Strategy</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4"/>
              </w:rPr>
              <w:t>Stage</w:t>
            </w:r>
          </w:p>
        </w:tc>
        <w:tc>
          <w:tcPr>
            <w:tcW w:type="dxa" w:w="3485"/>
            <w:shd w:fill="D9EAF7"/>
          </w:tcPr>
          <w:p>
            <w:r>
              <w:rPr>
                <w:b/>
                <w:sz w:val="14"/>
              </w:rPr>
              <w:t>Data required</w:t>
            </w:r>
          </w:p>
        </w:tc>
        <w:tc>
          <w:tcPr>
            <w:tcW w:type="dxa" w:w="3485"/>
            <w:shd w:fill="D9EAF7"/>
          </w:tcPr>
          <w:p>
            <w:r>
              <w:rPr>
                <w:b/>
                <w:sz w:val="14"/>
              </w:rPr>
              <w:t>Acceptance</w:t>
            </w:r>
          </w:p>
        </w:tc>
      </w:tr>
      <w:tr>
        <w:tc>
          <w:tcPr>
            <w:tcW w:type="dxa" w:w="3485"/>
            <w:vAlign w:val="center"/>
          </w:tcPr>
          <w:p>
            <w:r>
              <w:rPr>
                <w:sz w:val="14"/>
              </w:rPr>
              <w:t>A calculations</w:t>
            </w:r>
          </w:p>
        </w:tc>
        <w:tc>
          <w:tcPr>
            <w:tcW w:type="dxa" w:w="3485"/>
            <w:vAlign w:val="center"/>
          </w:tcPr>
          <w:p>
            <w:r>
              <w:rPr>
                <w:sz w:val="14"/>
              </w:rPr>
              <w:t>Validated scalar test vectors</w:t>
            </w:r>
          </w:p>
        </w:tc>
        <w:tc>
          <w:tcPr>
            <w:tcW w:type="dxa" w:w="3485"/>
            <w:vAlign w:val="center"/>
          </w:tcPr>
          <w:p>
            <w:r>
              <w:rPr>
                <w:sz w:val="14"/>
              </w:rPr>
              <w:t>Numerical result within approved tolerance</w:t>
            </w:r>
          </w:p>
        </w:tc>
      </w:tr>
      <w:tr>
        <w:tc>
          <w:tcPr>
            <w:tcW w:type="dxa" w:w="3485"/>
            <w:vAlign w:val="center"/>
          </w:tcPr>
          <w:p>
            <w:r>
              <w:rPr>
                <w:sz w:val="14"/>
              </w:rPr>
              <w:t>B1 pump curve</w:t>
            </w:r>
          </w:p>
        </w:tc>
        <w:tc>
          <w:tcPr>
            <w:tcW w:type="dxa" w:w="3485"/>
            <w:vAlign w:val="center"/>
          </w:tcPr>
          <w:p>
            <w:r>
              <w:rPr>
                <w:sz w:val="14"/>
              </w:rPr>
              <w:t>Exact OEM digitized curve</w:t>
            </w:r>
          </w:p>
        </w:tc>
        <w:tc>
          <w:tcPr>
            <w:tcW w:type="dxa" w:w="3485"/>
            <w:vAlign w:val="center"/>
          </w:tcPr>
          <w:p>
            <w:r>
              <w:rPr>
                <w:sz w:val="14"/>
              </w:rPr>
              <w:t>Interpolation matches controlled reference points</w:t>
            </w:r>
          </w:p>
        </w:tc>
      </w:tr>
      <w:tr>
        <w:tc>
          <w:tcPr>
            <w:tcW w:type="dxa" w:w="3485"/>
            <w:vAlign w:val="center"/>
          </w:tcPr>
          <w:p>
            <w:r>
              <w:rPr>
                <w:sz w:val="14"/>
              </w:rPr>
              <w:t>B2 motor</w:t>
            </w:r>
          </w:p>
        </w:tc>
        <w:tc>
          <w:tcPr>
            <w:tcW w:type="dxa" w:w="3485"/>
            <w:vAlign w:val="center"/>
          </w:tcPr>
          <w:p>
            <w:r>
              <w:rPr>
                <w:sz w:val="14"/>
              </w:rPr>
              <w:t>Exact nameplate/curve</w:t>
            </w:r>
          </w:p>
        </w:tc>
        <w:tc>
          <w:tcPr>
            <w:tcW w:type="dxa" w:w="3485"/>
            <w:vAlign w:val="center"/>
          </w:tcPr>
          <w:p>
            <w:r>
              <w:rPr>
                <w:sz w:val="14"/>
              </w:rPr>
              <w:t>Lookup matches source</w:t>
            </w:r>
          </w:p>
        </w:tc>
      </w:tr>
      <w:tr>
        <w:tc>
          <w:tcPr>
            <w:tcW w:type="dxa" w:w="3485"/>
            <w:vAlign w:val="center"/>
          </w:tcPr>
          <w:p>
            <w:r>
              <w:rPr>
                <w:sz w:val="14"/>
              </w:rPr>
              <w:t>C1 operating point</w:t>
            </w:r>
          </w:p>
        </w:tc>
        <w:tc>
          <w:tcPr>
            <w:tcW w:type="dxa" w:w="3485"/>
            <w:vAlign w:val="center"/>
          </w:tcPr>
          <w:p>
            <w:r>
              <w:rPr>
                <w:sz w:val="14"/>
              </w:rPr>
              <w:t>Well/PVT/IPR + pump curve</w:t>
            </w:r>
          </w:p>
        </w:tc>
        <w:tc>
          <w:tcPr>
            <w:tcW w:type="dxa" w:w="3485"/>
            <w:vAlign w:val="center"/>
          </w:tcPr>
          <w:p>
            <w:r>
              <w:rPr>
                <w:sz w:val="14"/>
              </w:rPr>
              <w:t>Engineer-reviewed convergence + sensitivity</w:t>
            </w:r>
          </w:p>
        </w:tc>
      </w:tr>
      <w:tr>
        <w:tc>
          <w:tcPr>
            <w:tcW w:type="dxa" w:w="3485"/>
            <w:vAlign w:val="center"/>
          </w:tcPr>
          <w:p>
            <w:r>
              <w:rPr>
                <w:sz w:val="14"/>
              </w:rPr>
              <w:t>D1 viscosity</w:t>
            </w:r>
          </w:p>
        </w:tc>
        <w:tc>
          <w:tcPr>
            <w:tcW w:type="dxa" w:w="3485"/>
            <w:vAlign w:val="center"/>
          </w:tcPr>
          <w:p>
            <w:r>
              <w:rPr>
                <w:sz w:val="14"/>
              </w:rPr>
              <w:t>Purchased/validated HI chart + OEM base curve</w:t>
            </w:r>
          </w:p>
        </w:tc>
        <w:tc>
          <w:tcPr>
            <w:tcW w:type="dxa" w:w="3485"/>
            <w:vAlign w:val="center"/>
          </w:tcPr>
          <w:p>
            <w:r>
              <w:rPr>
                <w:sz w:val="14"/>
              </w:rPr>
              <w:t>Engineer-approved applicability</w:t>
            </w:r>
          </w:p>
        </w:tc>
      </w:tr>
      <w:tr>
        <w:tc>
          <w:tcPr>
            <w:tcW w:type="dxa" w:w="3485"/>
            <w:vAlign w:val="center"/>
          </w:tcPr>
          <w:p>
            <w:r>
              <w:rPr>
                <w:sz w:val="14"/>
              </w:rPr>
              <w:t>D2/D3 gas</w:t>
            </w:r>
          </w:p>
        </w:tc>
        <w:tc>
          <w:tcPr>
            <w:tcW w:type="dxa" w:w="3485"/>
            <w:vAlign w:val="center"/>
          </w:tcPr>
          <w:p>
            <w:r>
              <w:rPr>
                <w:sz w:val="14"/>
              </w:rPr>
              <w:t>Approved PVT + OEM/correlation</w:t>
            </w:r>
          </w:p>
        </w:tc>
        <w:tc>
          <w:tcPr>
            <w:tcW w:type="dxa" w:w="3485"/>
            <w:vAlign w:val="center"/>
          </w:tcPr>
          <w:p>
            <w:r>
              <w:rPr>
                <w:sz w:val="14"/>
              </w:rPr>
              <w:t>Engineer-approved validity range</w:t>
            </w:r>
          </w:p>
        </w:tc>
      </w:tr>
      <w:tr>
        <w:tc>
          <w:tcPr>
            <w:tcW w:type="dxa" w:w="3485"/>
            <w:vAlign w:val="center"/>
          </w:tcPr>
          <w:p>
            <w:r>
              <w:rPr>
                <w:sz w:val="14"/>
              </w:rPr>
              <w:t>E limits</w:t>
            </w:r>
          </w:p>
        </w:tc>
        <w:tc>
          <w:tcPr>
            <w:tcW w:type="dxa" w:w="3485"/>
            <w:vAlign w:val="center"/>
          </w:tcPr>
          <w:p>
            <w:r>
              <w:rPr>
                <w:sz w:val="14"/>
              </w:rPr>
              <w:t>Client/OEM/approved limits</w:t>
            </w:r>
          </w:p>
        </w:tc>
        <w:tc>
          <w:tcPr>
            <w:tcW w:type="dxa" w:w="3485"/>
            <w:vAlign w:val="center"/>
          </w:tcPr>
          <w:p>
            <w:r>
              <w:rPr>
                <w:sz w:val="14"/>
              </w:rPr>
              <w:t>Correct pass/fail at boundary cases</w:t>
            </w:r>
          </w:p>
        </w:tc>
      </w:tr>
      <w:tr>
        <w:tc>
          <w:tcPr>
            <w:tcW w:type="dxa" w:w="3485"/>
            <w:vAlign w:val="center"/>
          </w:tcPr>
          <w:p>
            <w:r>
              <w:rPr>
                <w:sz w:val="14"/>
              </w:rPr>
              <w:t>F diagnostics</w:t>
            </w:r>
          </w:p>
        </w:tc>
        <w:tc>
          <w:tcPr>
            <w:tcW w:type="dxa" w:w="3485"/>
            <w:vAlign w:val="center"/>
          </w:tcPr>
          <w:p>
            <w:r>
              <w:rPr>
                <w:sz w:val="14"/>
              </w:rPr>
              <w:t>Client-approved windows/thresholds</w:t>
            </w:r>
          </w:p>
        </w:tc>
        <w:tc>
          <w:tcPr>
            <w:tcW w:type="dxa" w:w="3485"/>
            <w:vAlign w:val="center"/>
          </w:tcPr>
          <w:p>
            <w:r>
              <w:rPr>
                <w:sz w:val="14"/>
              </w:rPr>
              <w:t>Stable, documented signal behavior</w:t>
            </w:r>
          </w:p>
        </w:tc>
      </w:tr>
      <w:tr>
        <w:tc>
          <w:tcPr>
            <w:tcW w:type="dxa" w:w="3485"/>
            <w:vAlign w:val="center"/>
          </w:tcPr>
          <w:p>
            <w:r>
              <w:rPr>
                <w:sz w:val="14"/>
              </w:rPr>
              <w:t>G reliability</w:t>
            </w:r>
          </w:p>
        </w:tc>
        <w:tc>
          <w:tcPr>
            <w:tcW w:type="dxa" w:w="3485"/>
            <w:vAlign w:val="center"/>
          </w:tcPr>
          <w:p>
            <w:r>
              <w:rPr>
                <w:sz w:val="14"/>
              </w:rPr>
              <w:t>Real fleet dates/teardown taxonomy</w:t>
            </w:r>
          </w:p>
        </w:tc>
        <w:tc>
          <w:tcPr>
            <w:tcW w:type="dxa" w:w="3485"/>
            <w:vAlign w:val="center"/>
          </w:tcPr>
          <w:p>
            <w:r>
              <w:rPr>
                <w:sz w:val="14"/>
              </w:rPr>
              <w:t>Population definition + data QA</w:t>
            </w:r>
          </w:p>
        </w:tc>
      </w:tr>
    </w:tbl>
    <w:p/>
    <w:p>
      <w:pPr>
        <w:pStyle w:val="Heading1"/>
      </w:pPr>
      <w:r>
        <w:t>28. Service API Design</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Endpoint</w:t>
            </w:r>
          </w:p>
        </w:tc>
        <w:tc>
          <w:tcPr>
            <w:tcW w:type="dxa" w:w="5227"/>
            <w:shd w:fill="D9EAF7"/>
          </w:tcPr>
          <w:p>
            <w:r>
              <w:rPr>
                <w:b/>
                <w:sz w:val="14"/>
              </w:rPr>
              <w:t>Purpose</w:t>
            </w:r>
          </w:p>
        </w:tc>
      </w:tr>
      <w:tr>
        <w:tc>
          <w:tcPr>
            <w:tcW w:type="dxa" w:w="5227"/>
            <w:vAlign w:val="center"/>
          </w:tcPr>
          <w:p>
            <w:r>
              <w:rPr>
                <w:sz w:val="14"/>
              </w:rPr>
              <w:t>POST /api/v1/engineering/calculate</w:t>
            </w:r>
          </w:p>
        </w:tc>
        <w:tc>
          <w:tcPr>
            <w:tcW w:type="dxa" w:w="5227"/>
            <w:vAlign w:val="center"/>
          </w:tcPr>
          <w:p>
            <w:r>
              <w:rPr>
                <w:sz w:val="14"/>
              </w:rPr>
              <w:t>Execute one named calculation</w:t>
            </w:r>
          </w:p>
        </w:tc>
      </w:tr>
      <w:tr>
        <w:tc>
          <w:tcPr>
            <w:tcW w:type="dxa" w:w="5227"/>
            <w:vAlign w:val="center"/>
          </w:tcPr>
          <w:p>
            <w:r>
              <w:rPr>
                <w:sz w:val="14"/>
              </w:rPr>
              <w:t>POST /api/v1/engineering/batch</w:t>
            </w:r>
          </w:p>
        </w:tc>
        <w:tc>
          <w:tcPr>
            <w:tcW w:type="dxa" w:w="5227"/>
            <w:vAlign w:val="center"/>
          </w:tcPr>
          <w:p>
            <w:r>
              <w:rPr>
                <w:sz w:val="14"/>
              </w:rPr>
              <w:t>Execute a controlled set of calculations</w:t>
            </w:r>
          </w:p>
        </w:tc>
      </w:tr>
      <w:tr>
        <w:tc>
          <w:tcPr>
            <w:tcW w:type="dxa" w:w="5227"/>
            <w:vAlign w:val="center"/>
          </w:tcPr>
          <w:p>
            <w:r>
              <w:rPr>
                <w:sz w:val="14"/>
              </w:rPr>
              <w:t>GET /api/v1/engineering/calculations</w:t>
            </w:r>
          </w:p>
        </w:tc>
        <w:tc>
          <w:tcPr>
            <w:tcW w:type="dxa" w:w="5227"/>
            <w:vAlign w:val="center"/>
          </w:tcPr>
          <w:p>
            <w:r>
              <w:rPr>
                <w:sz w:val="14"/>
              </w:rPr>
              <w:t>List calculation definitions and status</w:t>
            </w:r>
          </w:p>
        </w:tc>
      </w:tr>
      <w:tr>
        <w:tc>
          <w:tcPr>
            <w:tcW w:type="dxa" w:w="5227"/>
            <w:vAlign w:val="center"/>
          </w:tcPr>
          <w:p>
            <w:r>
              <w:rPr>
                <w:sz w:val="14"/>
              </w:rPr>
              <w:t>GET /api/v1/engineering/calculations/{id}</w:t>
            </w:r>
          </w:p>
        </w:tc>
        <w:tc>
          <w:tcPr>
            <w:tcW w:type="dxa" w:w="5227"/>
            <w:vAlign w:val="center"/>
          </w:tcPr>
          <w:p>
            <w:r>
              <w:rPr>
                <w:sz w:val="14"/>
              </w:rPr>
              <w:t>Get calculation metadata/schema</w:t>
            </w:r>
          </w:p>
        </w:tc>
      </w:tr>
      <w:tr>
        <w:tc>
          <w:tcPr>
            <w:tcW w:type="dxa" w:w="5227"/>
            <w:vAlign w:val="center"/>
          </w:tcPr>
          <w:p>
            <w:r>
              <w:rPr>
                <w:sz w:val="14"/>
              </w:rPr>
              <w:t>GET /api/v1/engineering/references/{id}</w:t>
            </w:r>
          </w:p>
        </w:tc>
        <w:tc>
          <w:tcPr>
            <w:tcW w:type="dxa" w:w="5227"/>
            <w:vAlign w:val="center"/>
          </w:tcPr>
          <w:p>
            <w:r>
              <w:rPr>
                <w:sz w:val="14"/>
              </w:rPr>
              <w:t>Reference metadata</w:t>
            </w:r>
          </w:p>
        </w:tc>
      </w:tr>
      <w:tr>
        <w:tc>
          <w:tcPr>
            <w:tcW w:type="dxa" w:w="5227"/>
            <w:vAlign w:val="center"/>
          </w:tcPr>
          <w:p>
            <w:r>
              <w:rPr>
                <w:sz w:val="14"/>
              </w:rPr>
              <w:t>GET /api/v1/engineering/assets/{asset_id}/readiness</w:t>
            </w:r>
          </w:p>
        </w:tc>
        <w:tc>
          <w:tcPr>
            <w:tcW w:type="dxa" w:w="5227"/>
            <w:vAlign w:val="center"/>
          </w:tcPr>
          <w:p>
            <w:r>
              <w:rPr>
                <w:sz w:val="14"/>
              </w:rPr>
              <w:t>Show available inputs/data readiness</w:t>
            </w:r>
          </w:p>
        </w:tc>
      </w:tr>
      <w:tr>
        <w:tc>
          <w:tcPr>
            <w:tcW w:type="dxa" w:w="5227"/>
            <w:vAlign w:val="center"/>
          </w:tcPr>
          <w:p>
            <w:r>
              <w:rPr>
                <w:sz w:val="14"/>
              </w:rPr>
              <w:t>GET /api/v1/engineering/runs/{run_id}</w:t>
            </w:r>
          </w:p>
        </w:tc>
        <w:tc>
          <w:tcPr>
            <w:tcW w:type="dxa" w:w="5227"/>
            <w:vAlign w:val="center"/>
          </w:tcPr>
          <w:p>
            <w:r>
              <w:rPr>
                <w:sz w:val="14"/>
              </w:rPr>
              <w:t>Retrieve calculation audit/result</w:t>
            </w:r>
          </w:p>
        </w:tc>
      </w:tr>
    </w:tbl>
    <w:p/>
    <w:p>
      <w:pPr>
        <w:pStyle w:val="Heading1"/>
      </w:pPr>
      <w:r>
        <w:t>29. Example Calculation Request</w:t>
      </w:r>
    </w:p>
    <w:p>
      <w:pPr>
        <w:ind w:left="259" w:right="259"/>
      </w:pPr>
      <w:r>
        <w:rPr>
          <w:rFonts w:ascii="Consolas" w:hAnsi="Consolas"/>
          <w:sz w:val="14"/>
        </w:rPr>
        <w:t>{</w:t>
        <w:br/>
      </w:r>
      <w:r>
        <w:rPr>
          <w:rFonts w:ascii="Consolas" w:hAnsi="Consolas"/>
          <w:sz w:val="14"/>
        </w:rPr>
        <w:t xml:space="preserve">  "calculation_id": "A1_HEAD_PRESSURE_CONVERSION",</w:t>
        <w:br/>
      </w:r>
      <w:r>
        <w:rPr>
          <w:rFonts w:ascii="Consolas" w:hAnsi="Consolas"/>
          <w:sz w:val="14"/>
        </w:rPr>
        <w:t xml:space="preserve">  "asset_id": "FS-031",</w:t>
        <w:br/>
      </w:r>
      <w:r>
        <w:rPr>
          <w:rFonts w:ascii="Consolas" w:hAnsi="Consolas"/>
          <w:sz w:val="14"/>
        </w:rPr>
        <w:t xml:space="preserve">  "inputs": {</w:t>
        <w:br/>
      </w:r>
      <w:r>
        <w:rPr>
          <w:rFonts w:ascii="Consolas" w:hAnsi="Consolas"/>
          <w:sz w:val="14"/>
        </w:rPr>
        <w:t xml:space="preserve">    "delta_p_psi": 1647.2,</w:t>
        <w:br/>
      </w:r>
      <w:r>
        <w:rPr>
          <w:rFonts w:ascii="Consolas" w:hAnsi="Consolas"/>
          <w:sz w:val="14"/>
        </w:rPr>
        <w:t xml:space="preserve">    "fluid_sg": 0.90</w:t>
        <w:br/>
      </w:r>
      <w:r>
        <w:rPr>
          <w:rFonts w:ascii="Consolas" w:hAnsi="Consolas"/>
          <w:sz w:val="14"/>
        </w:rPr>
        <w:t xml:space="preserve">  },</w:t>
        <w:br/>
      </w:r>
      <w:r>
        <w:rPr>
          <w:rFonts w:ascii="Consolas" w:hAnsi="Consolas"/>
          <w:sz w:val="14"/>
        </w:rPr>
        <w:t xml:space="preserve">  "source_refs": {</w:t>
        <w:br/>
      </w:r>
      <w:r>
        <w:rPr>
          <w:rFonts w:ascii="Consolas" w:hAnsi="Consolas"/>
          <w:sz w:val="14"/>
        </w:rPr>
        <w:t xml:space="preserve">    "telemetry_window": "...",</w:t>
        <w:br/>
      </w:r>
      <w:r>
        <w:rPr>
          <w:rFonts w:ascii="Consolas" w:hAnsi="Consolas"/>
          <w:sz w:val="14"/>
        </w:rPr>
        <w:t xml:space="preserve">    "asset_context_version": "..."</w:t>
        <w:br/>
      </w:r>
      <w:r>
        <w:rPr>
          <w:rFonts w:ascii="Consolas" w:hAnsi="Consolas"/>
          <w:sz w:val="14"/>
        </w:rPr>
        <w:t xml:space="preserve">  }</w:t>
        <w:br/>
      </w:r>
      <w:r>
        <w:rPr>
          <w:rFonts w:ascii="Consolas" w:hAnsi="Consolas"/>
          <w:sz w:val="14"/>
        </w:rPr>
        <w:t>}</w:t>
        <w:br/>
      </w:r>
    </w:p>
    <w:p/>
    <w:p>
      <w:pPr>
        <w:pStyle w:val="Heading1"/>
      </w:pPr>
      <w:r>
        <w:t>30. Example Calculation Response</w:t>
      </w:r>
    </w:p>
    <w:p>
      <w:pPr>
        <w:ind w:left="259" w:right="259"/>
      </w:pPr>
      <w:r>
        <w:rPr>
          <w:rFonts w:ascii="Consolas" w:hAnsi="Consolas"/>
          <w:sz w:val="14"/>
        </w:rPr>
        <w:t>{</w:t>
        <w:br/>
      </w:r>
      <w:r>
        <w:rPr>
          <w:rFonts w:ascii="Consolas" w:hAnsi="Consolas"/>
          <w:sz w:val="14"/>
        </w:rPr>
        <w:t xml:space="preserve">  "calculation_id": "A1_HEAD_PRESSURE_CONVERSION",</w:t>
        <w:br/>
      </w:r>
      <w:r>
        <w:rPr>
          <w:rFonts w:ascii="Consolas" w:hAnsi="Consolas"/>
          <w:sz w:val="14"/>
        </w:rPr>
        <w:t xml:space="preserve">  "calculation_version": "1.x",</w:t>
        <w:br/>
      </w:r>
      <w:r>
        <w:rPr>
          <w:rFonts w:ascii="Consolas" w:hAnsi="Consolas"/>
          <w:sz w:val="14"/>
        </w:rPr>
        <w:t xml:space="preserve">  "status": "VALID",</w:t>
        <w:br/>
      </w:r>
      <w:r>
        <w:rPr>
          <w:rFonts w:ascii="Consolas" w:hAnsi="Consolas"/>
          <w:sz w:val="14"/>
        </w:rPr>
        <w:t xml:space="preserve">  "asset_id": "FS-031",</w:t>
        <w:br/>
      </w:r>
      <w:r>
        <w:rPr>
          <w:rFonts w:ascii="Consolas" w:hAnsi="Consolas"/>
          <w:sz w:val="14"/>
        </w:rPr>
        <w:t xml:space="preserve">  "outputs": {</w:t>
        <w:br/>
      </w:r>
      <w:r>
        <w:rPr>
          <w:rFonts w:ascii="Consolas" w:hAnsi="Consolas"/>
          <w:sz w:val="14"/>
        </w:rPr>
        <w:t xml:space="preserve">    "head_ft": 4228.4</w:t>
        <w:br/>
      </w:r>
      <w:r>
        <w:rPr>
          <w:rFonts w:ascii="Consolas" w:hAnsi="Consolas"/>
          <w:sz w:val="14"/>
        </w:rPr>
        <w:t xml:space="preserve">  },</w:t>
        <w:br/>
      </w:r>
      <w:r>
        <w:rPr>
          <w:rFonts w:ascii="Consolas" w:hAnsi="Consolas"/>
          <w:sz w:val="14"/>
        </w:rPr>
        <w:t xml:space="preserve">  "units": {</w:t>
        <w:br/>
      </w:r>
      <w:r>
        <w:rPr>
          <w:rFonts w:ascii="Consolas" w:hAnsi="Consolas"/>
          <w:sz w:val="14"/>
        </w:rPr>
        <w:t xml:space="preserve">    "head_ft": "ft"</w:t>
        <w:br/>
      </w:r>
      <w:r>
        <w:rPr>
          <w:rFonts w:ascii="Consolas" w:hAnsi="Consolas"/>
          <w:sz w:val="14"/>
        </w:rPr>
        <w:t xml:space="preserve">  },</w:t>
        <w:br/>
      </w:r>
      <w:r>
        <w:rPr>
          <w:rFonts w:ascii="Consolas" w:hAnsi="Consolas"/>
          <w:sz w:val="14"/>
        </w:rPr>
        <w:t xml:space="preserve">  "assumptions": [</w:t>
        <w:br/>
      </w:r>
      <w:r>
        <w:rPr>
          <w:rFonts w:ascii="Consolas" w:hAnsi="Consolas"/>
          <w:sz w:val="14"/>
        </w:rPr>
        <w:t xml:space="preserve">    "single-phase liquid"</w:t>
        <w:br/>
      </w:r>
      <w:r>
        <w:rPr>
          <w:rFonts w:ascii="Consolas" w:hAnsi="Consolas"/>
          <w:sz w:val="14"/>
        </w:rPr>
        <w:t xml:space="preserve">  ],</w:t>
        <w:br/>
      </w:r>
      <w:r>
        <w:rPr>
          <w:rFonts w:ascii="Consolas" w:hAnsi="Consolas"/>
          <w:sz w:val="14"/>
        </w:rPr>
        <w:t xml:space="preserve">  "provenance": {</w:t>
        <w:br/>
      </w:r>
      <w:r>
        <w:rPr>
          <w:rFonts w:ascii="Consolas" w:hAnsi="Consolas"/>
          <w:sz w:val="14"/>
        </w:rPr>
        <w:t xml:space="preserve">    "input_refs": [...],</w:t>
        <w:br/>
      </w:r>
      <w:r>
        <w:rPr>
          <w:rFonts w:ascii="Consolas" w:hAnsi="Consolas"/>
          <w:sz w:val="14"/>
        </w:rPr>
        <w:t xml:space="preserve">    "reference_refs": [...]</w:t>
        <w:br/>
      </w:r>
      <w:r>
        <w:rPr>
          <w:rFonts w:ascii="Consolas" w:hAnsi="Consolas"/>
          <w:sz w:val="14"/>
        </w:rPr>
        <w:t xml:space="preserve">  }</w:t>
        <w:br/>
      </w:r>
      <w:r>
        <w:rPr>
          <w:rFonts w:ascii="Consolas" w:hAnsi="Consolas"/>
          <w:sz w:val="14"/>
        </w:rPr>
        <w:t>}</w:t>
        <w:br/>
      </w:r>
    </w:p>
    <w:p/>
    <w:p>
      <w:pPr>
        <w:spacing w:after="80"/>
        <w:jc w:val="left"/>
      </w:pPr>
      <w:r>
        <w:rPr>
          <w:b w:val="0"/>
          <w:i w:val="0"/>
        </w:rPr>
        <w:t>Illustrative payload shape only; the final API envelope should conform to the project's shared REST schema. The numerical example should not be treated as validated field truth.</w:t>
      </w:r>
    </w:p>
    <w:p>
      <w:pPr>
        <w:pStyle w:val="Heading1"/>
      </w:pPr>
      <w:r>
        <w:t>31. Agent Tool Layer</w:t>
      </w:r>
    </w:p>
    <w:p>
      <w:pPr>
        <w:ind w:left="259" w:right="259"/>
      </w:pPr>
      <w:r>
        <w:rPr>
          <w:rFonts w:ascii="Consolas" w:hAnsi="Consolas"/>
          <w:sz w:val="14"/>
        </w:rPr>
        <w:t>LangGraph Specialist</w:t>
        <w:br/>
      </w:r>
      <w:r>
        <w:rPr>
          <w:rFonts w:ascii="Consolas" w:hAnsi="Consolas"/>
          <w:sz w:val="14"/>
        </w:rPr>
        <w:t xml:space="preserve">        |</w:t>
        <w:br/>
      </w:r>
      <w:r>
        <w:rPr>
          <w:rFonts w:ascii="Consolas" w:hAnsi="Consolas"/>
          <w:sz w:val="14"/>
        </w:rPr>
        <w:t>Engineering Tool</w:t>
        <w:br/>
      </w:r>
      <w:r>
        <w:rPr>
          <w:rFonts w:ascii="Consolas" w:hAnsi="Consolas"/>
          <w:sz w:val="14"/>
        </w:rPr>
        <w:t xml:space="preserve">        |</w:t>
        <w:br/>
      </w:r>
      <w:r>
        <w:rPr>
          <w:rFonts w:ascii="Consolas" w:hAnsi="Consolas"/>
          <w:sz w:val="14"/>
        </w:rPr>
        <w:t>Tool Registry</w:t>
        <w:br/>
      </w:r>
      <w:r>
        <w:rPr>
          <w:rFonts w:ascii="Consolas" w:hAnsi="Consolas"/>
          <w:sz w:val="14"/>
        </w:rPr>
        <w:t xml:space="preserve">        |</w:t>
        <w:br/>
      </w:r>
      <w:r>
        <w:rPr>
          <w:rFonts w:ascii="Consolas" w:hAnsi="Consolas"/>
          <w:sz w:val="14"/>
        </w:rPr>
        <w:t>PolicyEngine</w:t>
        <w:br/>
      </w:r>
      <w:r>
        <w:rPr>
          <w:rFonts w:ascii="Consolas" w:hAnsi="Consolas"/>
          <w:sz w:val="14"/>
        </w:rPr>
        <w:t xml:space="preserve">        |</w:t>
        <w:br/>
      </w:r>
      <w:r>
        <w:rPr>
          <w:rFonts w:ascii="Consolas" w:hAnsi="Consolas"/>
          <w:sz w:val="14"/>
        </w:rPr>
        <w:t>Engineering REST Service</w:t>
        <w:br/>
      </w:r>
      <w:r>
        <w:rPr>
          <w:rFonts w:ascii="Consolas" w:hAnsi="Consolas"/>
          <w:sz w:val="14"/>
        </w:rPr>
        <w:t xml:space="preserve">        |</w:t>
        <w:br/>
      </w:r>
      <w:r>
        <w:rPr>
          <w:rFonts w:ascii="Consolas" w:hAnsi="Consolas"/>
          <w:sz w:val="14"/>
        </w:rPr>
        <w:t>Deterministic calculation</w:t>
        <w:br/>
      </w:r>
    </w:p>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Tool</w:t>
            </w:r>
          </w:p>
        </w:tc>
        <w:tc>
          <w:tcPr>
            <w:tcW w:type="dxa" w:w="5227"/>
            <w:shd w:fill="D9EAF7"/>
          </w:tcPr>
          <w:p>
            <w:r>
              <w:rPr>
                <w:b/>
                <w:sz w:val="14"/>
              </w:rPr>
              <w:t>Initial exposure</w:t>
            </w:r>
          </w:p>
        </w:tc>
      </w:tr>
      <w:tr>
        <w:tc>
          <w:tcPr>
            <w:tcW w:type="dxa" w:w="5227"/>
            <w:vAlign w:val="center"/>
          </w:tcPr>
          <w:p>
            <w:r>
              <w:rPr>
                <w:sz w:val="14"/>
              </w:rPr>
              <w:t>calculate_head_from_delta_p</w:t>
            </w:r>
          </w:p>
        </w:tc>
        <w:tc>
          <w:tcPr>
            <w:tcW w:type="dxa" w:w="5227"/>
            <w:vAlign w:val="center"/>
          </w:tcPr>
          <w:p>
            <w:r>
              <w:rPr>
                <w:sz w:val="14"/>
              </w:rPr>
              <w:t>A1</w:t>
            </w:r>
          </w:p>
        </w:tc>
      </w:tr>
      <w:tr>
        <w:tc>
          <w:tcPr>
            <w:tcW w:type="dxa" w:w="5227"/>
            <w:vAlign w:val="center"/>
          </w:tcPr>
          <w:p>
            <w:r>
              <w:rPr>
                <w:sz w:val="14"/>
              </w:rPr>
              <w:t>calculate_hydraulic_power</w:t>
            </w:r>
          </w:p>
        </w:tc>
        <w:tc>
          <w:tcPr>
            <w:tcW w:type="dxa" w:w="5227"/>
            <w:vAlign w:val="center"/>
          </w:tcPr>
          <w:p>
            <w:r>
              <w:rPr>
                <w:sz w:val="14"/>
              </w:rPr>
              <w:t>A2</w:t>
            </w:r>
          </w:p>
        </w:tc>
      </w:tr>
      <w:tr>
        <w:tc>
          <w:tcPr>
            <w:tcW w:type="dxa" w:w="5227"/>
            <w:vAlign w:val="center"/>
          </w:tcPr>
          <w:p>
            <w:r>
              <w:rPr>
                <w:sz w:val="14"/>
              </w:rPr>
              <w:t>apply_frequency_correction</w:t>
            </w:r>
          </w:p>
        </w:tc>
        <w:tc>
          <w:tcPr>
            <w:tcW w:type="dxa" w:w="5227"/>
            <w:vAlign w:val="center"/>
          </w:tcPr>
          <w:p>
            <w:r>
              <w:rPr>
                <w:sz w:val="14"/>
              </w:rPr>
              <w:t>A4</w:t>
            </w:r>
          </w:p>
        </w:tc>
      </w:tr>
      <w:tr>
        <w:tc>
          <w:tcPr>
            <w:tcW w:type="dxa" w:w="5227"/>
            <w:vAlign w:val="center"/>
          </w:tcPr>
          <w:p>
            <w:r>
              <w:rPr>
                <w:sz w:val="14"/>
              </w:rPr>
              <w:t>calculate_percent_bep</w:t>
            </w:r>
          </w:p>
        </w:tc>
        <w:tc>
          <w:tcPr>
            <w:tcW w:type="dxa" w:w="5227"/>
            <w:vAlign w:val="center"/>
          </w:tcPr>
          <w:p>
            <w:r>
              <w:rPr>
                <w:sz w:val="14"/>
              </w:rPr>
              <w:t>A5</w:t>
            </w:r>
          </w:p>
        </w:tc>
      </w:tr>
      <w:tr>
        <w:tc>
          <w:tcPr>
            <w:tcW w:type="dxa" w:w="5227"/>
            <w:vAlign w:val="center"/>
          </w:tcPr>
          <w:p>
            <w:r>
              <w:rPr>
                <w:sz w:val="14"/>
              </w:rPr>
              <w:t>calculate_motor_load</w:t>
            </w:r>
          </w:p>
        </w:tc>
        <w:tc>
          <w:tcPr>
            <w:tcW w:type="dxa" w:w="5227"/>
            <w:vAlign w:val="center"/>
          </w:tcPr>
          <w:p>
            <w:r>
              <w:rPr>
                <w:sz w:val="14"/>
              </w:rPr>
              <w:t>C2</w:t>
            </w:r>
          </w:p>
        </w:tc>
      </w:tr>
      <w:tr>
        <w:tc>
          <w:tcPr>
            <w:tcW w:type="dxa" w:w="5227"/>
            <w:vAlign w:val="center"/>
          </w:tcPr>
          <w:p>
            <w:r>
              <w:rPr>
                <w:sz w:val="14"/>
              </w:rPr>
              <w:t>calculate_current_trend</w:t>
            </w:r>
          </w:p>
        </w:tc>
        <w:tc>
          <w:tcPr>
            <w:tcW w:type="dxa" w:w="5227"/>
            <w:vAlign w:val="center"/>
          </w:tcPr>
          <w:p>
            <w:r>
              <w:rPr>
                <w:sz w:val="14"/>
              </w:rPr>
              <w:t>F1</w:t>
            </w:r>
          </w:p>
        </w:tc>
      </w:tr>
      <w:tr>
        <w:tc>
          <w:tcPr>
            <w:tcW w:type="dxa" w:w="5227"/>
            <w:vAlign w:val="center"/>
          </w:tcPr>
          <w:p>
            <w:r>
              <w:rPr>
                <w:sz w:val="14"/>
              </w:rPr>
              <w:t>lookup_pump_curve</w:t>
            </w:r>
          </w:p>
        </w:tc>
        <w:tc>
          <w:tcPr>
            <w:tcW w:type="dxa" w:w="5227"/>
            <w:vAlign w:val="center"/>
          </w:tcPr>
          <w:p>
            <w:r>
              <w:rPr>
                <w:sz w:val="14"/>
              </w:rPr>
              <w:t>B1, after OEM data is loaded</w:t>
            </w:r>
          </w:p>
        </w:tc>
      </w:tr>
      <w:tr>
        <w:tc>
          <w:tcPr>
            <w:tcW w:type="dxa" w:w="5227"/>
            <w:vAlign w:val="center"/>
          </w:tcPr>
          <w:p>
            <w:r>
              <w:rPr>
                <w:sz w:val="14"/>
              </w:rPr>
              <w:t>check_ror</w:t>
            </w:r>
          </w:p>
        </w:tc>
        <w:tc>
          <w:tcPr>
            <w:tcW w:type="dxa" w:w="5227"/>
            <w:vAlign w:val="center"/>
          </w:tcPr>
          <w:p>
            <w:r>
              <w:rPr>
                <w:sz w:val="14"/>
              </w:rPr>
              <w:t>E1, after approved bounds exist</w:t>
            </w:r>
          </w:p>
        </w:tc>
      </w:tr>
    </w:tbl>
    <w:p/>
    <w:p>
      <w:pPr>
        <w:pStyle w:val="Heading1"/>
      </w:pPr>
      <w:r>
        <w:t>32. REST + MCP Position</w:t>
      </w:r>
    </w:p>
    <w:p>
      <w:pPr>
        <w:spacing w:after="80"/>
        <w:jc w:val="left"/>
      </w:pPr>
      <w:r>
        <w:rPr>
          <w:b w:val="0"/>
          <w:i w:val="0"/>
        </w:rPr>
        <w:t>REST should remain the canonical Engineering Service interface. MCP is an optional Agent-facing interface/adapter when the capability is useful to expose through an MCP tool server. Both paths must call the same underlying Engineering Service/business logic.</w:t>
      </w:r>
    </w:p>
    <w:p>
      <w:pPr>
        <w:ind w:left="259" w:right="259"/>
      </w:pPr>
      <w:r>
        <w:rPr>
          <w:rFonts w:ascii="Consolas" w:hAnsi="Consolas"/>
          <w:sz w:val="14"/>
        </w:rPr>
        <w:t>Agent</w:t>
        <w:br/>
      </w:r>
      <w:r>
        <w:rPr>
          <w:rFonts w:ascii="Consolas" w:hAnsi="Consolas"/>
          <w:sz w:val="14"/>
        </w:rPr>
        <w:t xml:space="preserve"> | | \ </w:t>
        <w:br/>
      </w:r>
      <w:r>
        <w:rPr>
          <w:rFonts w:ascii="Consolas" w:hAnsi="Consolas"/>
          <w:sz w:val="14"/>
        </w:rPr>
        <w:t xml:space="preserve"> |  +--&gt; MCP Tool Adapter ----+</w:t>
        <w:br/>
      </w:r>
      <w:r>
        <w:rPr>
          <w:rFonts w:ascii="Consolas" w:hAnsi="Consolas"/>
          <w:sz w:val="14"/>
        </w:rPr>
        <w:t xml:space="preserve"> |                           |</w:t>
        <w:br/>
      </w:r>
      <w:r>
        <w:rPr>
          <w:rFonts w:ascii="Consolas" w:hAnsi="Consolas"/>
          <w:sz w:val="14"/>
        </w:rPr>
        <w:t xml:space="preserve"> +----&gt; REST Tool Adapter ---+--&gt; Engineering Service</w:t>
        <w:br/>
      </w:r>
      <w:r>
        <w:rPr>
          <w:rFonts w:ascii="Consolas" w:hAnsi="Consolas"/>
          <w:sz w:val="14"/>
        </w:rPr>
        <w:t xml:space="preserve">                                |</w:t>
        <w:br/>
      </w:r>
      <w:r>
        <w:rPr>
          <w:rFonts w:ascii="Consolas" w:hAnsi="Consolas"/>
          <w:sz w:val="14"/>
        </w:rPr>
        <w:t xml:space="preserve">                           Deterministic Engine</w:t>
        <w:br/>
      </w:r>
    </w:p>
    <w:p/>
    <w:p>
      <w:pPr>
        <w:spacing w:after="80"/>
        <w:jc w:val="left"/>
      </w:pPr>
      <w:r>
        <w:rPr>
          <w:b w:val="0"/>
          <w:i w:val="0"/>
        </w:rPr>
        <w:t>Do not implement separate calculation logic for REST and MCP.</w:t>
      </w:r>
    </w:p>
    <w:p>
      <w:pPr>
        <w:pStyle w:val="Heading1"/>
      </w:pPr>
      <w:r>
        <w:t>33. Evidence Integration</w:t>
      </w:r>
    </w:p>
    <w:p>
      <w:pPr>
        <w:ind w:left="259" w:right="259"/>
      </w:pPr>
      <w:r>
        <w:rPr>
          <w:rFonts w:ascii="Consolas" w:hAnsi="Consolas"/>
          <w:sz w:val="14"/>
        </w:rPr>
        <w:t>Engineering Result</w:t>
        <w:br/>
      </w:r>
      <w:r>
        <w:rPr>
          <w:rFonts w:ascii="Consolas" w:hAnsi="Consolas"/>
          <w:sz w:val="14"/>
        </w:rPr>
        <w:t xml:space="preserve">      |</w:t>
        <w:br/>
      </w:r>
      <w:r>
        <w:rPr>
          <w:rFonts w:ascii="Consolas" w:hAnsi="Consolas"/>
          <w:sz w:val="14"/>
        </w:rPr>
        <w:t>EvidenceItem</w:t>
        <w:br/>
      </w:r>
      <w:r>
        <w:rPr>
          <w:rFonts w:ascii="Consolas" w:hAnsi="Consolas"/>
          <w:sz w:val="14"/>
        </w:rPr>
        <w:t>├── calculation_id</w:t>
        <w:br/>
      </w:r>
      <w:r>
        <w:rPr>
          <w:rFonts w:ascii="Consolas" w:hAnsi="Consolas"/>
          <w:sz w:val="14"/>
        </w:rPr>
        <w:t>├── result</w:t>
        <w:br/>
      </w:r>
      <w:r>
        <w:rPr>
          <w:rFonts w:ascii="Consolas" w:hAnsi="Consolas"/>
          <w:sz w:val="14"/>
        </w:rPr>
        <w:t>├── units</w:t>
        <w:br/>
      </w:r>
      <w:r>
        <w:rPr>
          <w:rFonts w:ascii="Consolas" w:hAnsi="Consolas"/>
          <w:sz w:val="14"/>
        </w:rPr>
        <w:t>├── inputs</w:t>
        <w:br/>
      </w:r>
      <w:r>
        <w:rPr>
          <w:rFonts w:ascii="Consolas" w:hAnsi="Consolas"/>
          <w:sz w:val="14"/>
        </w:rPr>
        <w:t>├── assumptions</w:t>
        <w:br/>
      </w:r>
      <w:r>
        <w:rPr>
          <w:rFonts w:ascii="Consolas" w:hAnsi="Consolas"/>
          <w:sz w:val="14"/>
        </w:rPr>
        <w:t>├── source refs</w:t>
        <w:br/>
      </w:r>
      <w:r>
        <w:rPr>
          <w:rFonts w:ascii="Consolas" w:hAnsi="Consolas"/>
          <w:sz w:val="14"/>
        </w:rPr>
        <w:t>├── version</w:t>
        <w:br/>
      </w:r>
      <w:r>
        <w:rPr>
          <w:rFonts w:ascii="Consolas" w:hAnsi="Consolas"/>
          <w:sz w:val="14"/>
        </w:rPr>
        <w:t>└── quality</w:t>
        <w:br/>
      </w:r>
      <w:r>
        <w:rPr>
          <w:rFonts w:ascii="Consolas" w:hAnsi="Consolas"/>
          <w:sz w:val="14"/>
        </w:rPr>
        <w:t xml:space="preserve">      |</w:t>
        <w:br/>
      </w:r>
      <w:r>
        <w:rPr>
          <w:rFonts w:ascii="Consolas" w:hAnsi="Consolas"/>
          <w:sz w:val="14"/>
        </w:rPr>
        <w:t>Evidence Pack</w:t>
        <w:br/>
      </w:r>
      <w:r>
        <w:rPr>
          <w:rFonts w:ascii="Consolas" w:hAnsi="Consolas"/>
          <w:sz w:val="14"/>
        </w:rPr>
        <w:t xml:space="preserve">      |</w:t>
        <w:br/>
      </w:r>
      <w:r>
        <w:rPr>
          <w:rFonts w:ascii="Consolas" w:hAnsi="Consolas"/>
          <w:sz w:val="14"/>
        </w:rPr>
        <w:t>Agent Context</w:t>
        <w:br/>
      </w:r>
      <w:r>
        <w:rPr>
          <w:rFonts w:ascii="Consolas" w:hAnsi="Consolas"/>
          <w:sz w:val="14"/>
        </w:rPr>
        <w:t xml:space="preserve">      |</w:t>
        <w:br/>
      </w:r>
      <w:r>
        <w:rPr>
          <w:rFonts w:ascii="Consolas" w:hAnsi="Consolas"/>
          <w:sz w:val="14"/>
        </w:rPr>
        <w:t>Advisory / XAI</w:t>
        <w:br/>
      </w:r>
    </w:p>
    <w:p/>
    <w:p>
      <w:pPr>
        <w:spacing w:after="80"/>
        <w:jc w:val="left"/>
      </w:pPr>
      <w:r>
        <w:rPr>
          <w:b w:val="0"/>
          <w:i w:val="0"/>
        </w:rPr>
        <w:t>This makes calculations visible in the same evidence chain as telemetry, ML, KB and historical cases.</w:t>
      </w:r>
    </w:p>
    <w:p>
      <w:pPr>
        <w:pStyle w:val="Heading1"/>
      </w:pPr>
      <w:r>
        <w:t>34. XAI / UI Integration</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Engineering result</w:t>
            </w:r>
          </w:p>
        </w:tc>
        <w:tc>
          <w:tcPr>
            <w:tcW w:type="dxa" w:w="5227"/>
            <w:shd w:fill="D9EAF7"/>
          </w:tcPr>
          <w:p>
            <w:r>
              <w:rPr>
                <w:b/>
                <w:sz w:val="14"/>
              </w:rPr>
              <w:t>UI/XAI representation</w:t>
            </w:r>
          </w:p>
        </w:tc>
      </w:tr>
      <w:tr>
        <w:tc>
          <w:tcPr>
            <w:tcW w:type="dxa" w:w="5227"/>
            <w:vAlign w:val="center"/>
          </w:tcPr>
          <w:p>
            <w:r>
              <w:rPr>
                <w:sz w:val="14"/>
              </w:rPr>
              <w:t>A1 head</w:t>
            </w:r>
          </w:p>
        </w:tc>
        <w:tc>
          <w:tcPr>
            <w:tcW w:type="dxa" w:w="5227"/>
            <w:vAlign w:val="center"/>
          </w:tcPr>
          <w:p>
            <w:r>
              <w:rPr>
                <w:sz w:val="14"/>
              </w:rPr>
              <w:t>Formula/inputs + calculated head card</w:t>
            </w:r>
          </w:p>
        </w:tc>
      </w:tr>
      <w:tr>
        <w:tc>
          <w:tcPr>
            <w:tcW w:type="dxa" w:w="5227"/>
            <w:vAlign w:val="center"/>
          </w:tcPr>
          <w:p>
            <w:r>
              <w:rPr>
                <w:sz w:val="14"/>
              </w:rPr>
              <w:t>A4 frequency correction</w:t>
            </w:r>
          </w:p>
        </w:tc>
        <w:tc>
          <w:tcPr>
            <w:tcW w:type="dxa" w:w="5227"/>
            <w:vAlign w:val="center"/>
          </w:tcPr>
          <w:p>
            <w:r>
              <w:rPr>
                <w:sz w:val="14"/>
              </w:rPr>
              <w:t>Base vs adjusted performance visual</w:t>
            </w:r>
          </w:p>
        </w:tc>
      </w:tr>
      <w:tr>
        <w:tc>
          <w:tcPr>
            <w:tcW w:type="dxa" w:w="5227"/>
            <w:vAlign w:val="center"/>
          </w:tcPr>
          <w:p>
            <w:r>
              <w:rPr>
                <w:sz w:val="14"/>
              </w:rPr>
              <w:t>A5 %BEP</w:t>
            </w:r>
          </w:p>
        </w:tc>
        <w:tc>
          <w:tcPr>
            <w:tcW w:type="dxa" w:w="5227"/>
            <w:vAlign w:val="center"/>
          </w:tcPr>
          <w:p>
            <w:r>
              <w:rPr>
                <w:sz w:val="14"/>
              </w:rPr>
              <w:t>Operating point/BEP visual</w:t>
            </w:r>
          </w:p>
        </w:tc>
      </w:tr>
      <w:tr>
        <w:tc>
          <w:tcPr>
            <w:tcW w:type="dxa" w:w="5227"/>
            <w:vAlign w:val="center"/>
          </w:tcPr>
          <w:p>
            <w:r>
              <w:rPr>
                <w:sz w:val="14"/>
              </w:rPr>
              <w:t>C2 motor load</w:t>
            </w:r>
          </w:p>
        </w:tc>
        <w:tc>
          <w:tcPr>
            <w:tcW w:type="dxa" w:w="5227"/>
            <w:vAlign w:val="center"/>
          </w:tcPr>
          <w:p>
            <w:r>
              <w:rPr>
                <w:sz w:val="14"/>
              </w:rPr>
              <w:t>Current vs rated comparison</w:t>
            </w:r>
          </w:p>
        </w:tc>
      </w:tr>
      <w:tr>
        <w:tc>
          <w:tcPr>
            <w:tcW w:type="dxa" w:w="5227"/>
            <w:vAlign w:val="center"/>
          </w:tcPr>
          <w:p>
            <w:r>
              <w:rPr>
                <w:sz w:val="14"/>
              </w:rPr>
              <w:t>F1 trend</w:t>
            </w:r>
          </w:p>
        </w:tc>
        <w:tc>
          <w:tcPr>
            <w:tcW w:type="dxa" w:w="5227"/>
            <w:vAlign w:val="center"/>
          </w:tcPr>
          <w:p>
            <w:r>
              <w:rPr>
                <w:sz w:val="14"/>
              </w:rPr>
              <w:t>Trend line with slope</w:t>
            </w:r>
          </w:p>
        </w:tc>
      </w:tr>
      <w:tr>
        <w:tc>
          <w:tcPr>
            <w:tcW w:type="dxa" w:w="5227"/>
            <w:vAlign w:val="center"/>
          </w:tcPr>
          <w:p>
            <w:r>
              <w:rPr>
                <w:sz w:val="14"/>
              </w:rPr>
              <w:t>B1 pump curve</w:t>
            </w:r>
          </w:p>
        </w:tc>
        <w:tc>
          <w:tcPr>
            <w:tcW w:type="dxa" w:w="5227"/>
            <w:vAlign w:val="center"/>
          </w:tcPr>
          <w:p>
            <w:r>
              <w:rPr>
                <w:sz w:val="14"/>
              </w:rPr>
              <w:t>OEM pump curve + current operating point</w:t>
            </w:r>
          </w:p>
        </w:tc>
      </w:tr>
      <w:tr>
        <w:tc>
          <w:tcPr>
            <w:tcW w:type="dxa" w:w="5227"/>
            <w:vAlign w:val="center"/>
          </w:tcPr>
          <w:p>
            <w:r>
              <w:rPr>
                <w:sz w:val="14"/>
              </w:rPr>
              <w:t>E1 ROR</w:t>
            </w:r>
          </w:p>
        </w:tc>
        <w:tc>
          <w:tcPr>
            <w:tcW w:type="dxa" w:w="5227"/>
            <w:vAlign w:val="center"/>
          </w:tcPr>
          <w:p>
            <w:r>
              <w:rPr>
                <w:sz w:val="14"/>
              </w:rPr>
              <w:t>Operating point against approved envelope</w:t>
            </w:r>
          </w:p>
        </w:tc>
      </w:tr>
    </w:tbl>
    <w:p/>
    <w:p>
      <w:pPr>
        <w:spacing w:after="80"/>
        <w:jc w:val="left"/>
      </w:pPr>
      <w:r>
        <w:rPr>
          <w:b w:val="0"/>
          <w:i w:val="0"/>
        </w:rPr>
        <w:t>The Engineering Service should return structured data/specifications; the frontend renders charts/visual stories. The LLM explains the result but does not author the underlying calculation.</w:t>
      </w:r>
    </w:p>
    <w:p>
      <w:pPr>
        <w:pStyle w:val="Heading1"/>
      </w:pPr>
      <w:r>
        <w:t>35. Data Readiness Endpoint</w:t>
      </w:r>
    </w:p>
    <w:p>
      <w:pPr>
        <w:spacing w:after="80"/>
        <w:jc w:val="left"/>
      </w:pPr>
      <w:r>
        <w:rPr>
          <w:b w:val="0"/>
          <w:i w:val="0"/>
        </w:rPr>
        <w:t>A valuable addition is a readiness endpoint so the Agent and UI can know what can be calculated before attempting execution.</w:t>
      </w:r>
    </w:p>
    <w:p>
      <w:pPr>
        <w:ind w:left="259" w:right="259"/>
      </w:pPr>
      <w:r>
        <w:rPr>
          <w:rFonts w:ascii="Consolas" w:hAnsi="Consolas"/>
          <w:sz w:val="14"/>
        </w:rPr>
        <w:t>GET /api/v1/engineering/assets/FS-031/readiness</w:t>
        <w:br/>
      </w:r>
      <w:r>
        <w:rPr>
          <w:rFonts w:ascii="Consolas" w:hAnsi="Consolas"/>
          <w:sz w:val="14"/>
        </w:rPr>
        <w:br/>
      </w:r>
      <w:r>
        <w:rPr>
          <w:rFonts w:ascii="Consolas" w:hAnsi="Consolas"/>
          <w:sz w:val="14"/>
        </w:rPr>
        <w:t>returns:</w:t>
        <w:br/>
      </w:r>
      <w:r>
        <w:rPr>
          <w:rFonts w:ascii="Consolas" w:hAnsi="Consolas"/>
          <w:sz w:val="14"/>
        </w:rPr>
        <w:t>- available calculations</w:t>
        <w:br/>
      </w:r>
      <w:r>
        <w:rPr>
          <w:rFonts w:ascii="Consolas" w:hAnsi="Consolas"/>
          <w:sz w:val="14"/>
        </w:rPr>
        <w:t>- blocked calculations</w:t>
        <w:br/>
      </w:r>
      <w:r>
        <w:rPr>
          <w:rFonts w:ascii="Consolas" w:hAnsi="Consolas"/>
          <w:sz w:val="14"/>
        </w:rPr>
        <w:t>- missing inputs</w:t>
        <w:br/>
      </w:r>
      <w:r>
        <w:rPr>
          <w:rFonts w:ascii="Consolas" w:hAnsi="Consolas"/>
          <w:sz w:val="14"/>
        </w:rPr>
        <w:t>- missing OEM data</w:t>
        <w:br/>
      </w:r>
      <w:r>
        <w:rPr>
          <w:rFonts w:ascii="Consolas" w:hAnsi="Consolas"/>
          <w:sz w:val="14"/>
        </w:rPr>
        <w:t>- missing client limits</w:t>
        <w:br/>
      </w:r>
      <w:r>
        <w:rPr>
          <w:rFonts w:ascii="Consolas" w:hAnsi="Consolas"/>
          <w:sz w:val="14"/>
        </w:rPr>
        <w:t>- validation flags</w:t>
        <w:br/>
      </w:r>
      <w:r>
        <w:rPr>
          <w:rFonts w:ascii="Consolas" w:hAnsi="Consolas"/>
          <w:sz w:val="14"/>
        </w:rPr>
        <w:t>- last source timestamps</w:t>
        <w:br/>
      </w:r>
    </w:p>
    <w:p/>
    <w:p>
      <w:pPr>
        <w:spacing w:after="80"/>
        <w:jc w:val="left"/>
      </w:pPr>
      <w:r>
        <w:rPr>
          <w:b w:val="0"/>
          <w:i w:val="0"/>
        </w:rPr>
        <w:t>This directly reflects the supplied placeholder/test architecture, where many calculations are pending real OEM/client/PVT inputs. [engineering_test_cases.yaml, lines 697–765]</w:t>
      </w:r>
    </w:p>
    <w:p>
      <w:pPr>
        <w:pStyle w:val="Heading1"/>
      </w:pPr>
      <w:r>
        <w:t>36. Calculation Dependency Graph</w:t>
      </w:r>
    </w:p>
    <w:p>
      <w:pPr>
        <w:ind w:left="259" w:right="259"/>
      </w:pPr>
      <w:r>
        <w:rPr>
          <w:rFonts w:ascii="Consolas" w:hAnsi="Consolas"/>
          <w:sz w:val="14"/>
        </w:rPr>
        <w:t>D4 Fluid SG</w:t>
        <w:br/>
      </w:r>
      <w:r>
        <w:rPr>
          <w:rFonts w:ascii="Consolas" w:hAnsi="Consolas"/>
          <w:sz w:val="14"/>
        </w:rPr>
        <w:t xml:space="preserve">     |</w:t>
        <w:br/>
      </w:r>
      <w:r>
        <w:rPr>
          <w:rFonts w:ascii="Consolas" w:hAnsi="Consolas"/>
          <w:sz w:val="14"/>
        </w:rPr>
        <w:t xml:space="preserve">     +--&gt; A1 Head</w:t>
        <w:br/>
      </w:r>
      <w:r>
        <w:rPr>
          <w:rFonts w:ascii="Consolas" w:hAnsi="Consolas"/>
          <w:sz w:val="14"/>
        </w:rPr>
        <w:t xml:space="preserve">     |      |</w:t>
        <w:br/>
      </w:r>
      <w:r>
        <w:rPr>
          <w:rFonts w:ascii="Consolas" w:hAnsi="Consolas"/>
          <w:sz w:val="14"/>
        </w:rPr>
        <w:t xml:space="preserve">     |      +--&gt; A2 Hydraulic Power</w:t>
        <w:br/>
      </w:r>
      <w:r>
        <w:rPr>
          <w:rFonts w:ascii="Consolas" w:hAnsi="Consolas"/>
          <w:sz w:val="14"/>
        </w:rPr>
        <w:t xml:space="preserve">     |               |</w:t>
        <w:br/>
      </w:r>
      <w:r>
        <w:rPr>
          <w:rFonts w:ascii="Consolas" w:hAnsi="Consolas"/>
          <w:sz w:val="14"/>
        </w:rPr>
        <w:t xml:space="preserve">     |               +--&gt; A3 BHP</w:t>
        <w:br/>
      </w:r>
      <w:r>
        <w:rPr>
          <w:rFonts w:ascii="Consolas" w:hAnsi="Consolas"/>
          <w:sz w:val="14"/>
        </w:rPr>
        <w:t xml:space="preserve">     |</w:t>
        <w:br/>
      </w:r>
      <w:r>
        <w:rPr>
          <w:rFonts w:ascii="Consolas" w:hAnsi="Consolas"/>
          <w:sz w:val="14"/>
        </w:rPr>
        <w:t>B1 Pump Curve ----&gt; A5 %BEP</w:t>
        <w:br/>
      </w:r>
      <w:r>
        <w:rPr>
          <w:rFonts w:ascii="Consolas" w:hAnsi="Consolas"/>
          <w:sz w:val="14"/>
        </w:rPr>
        <w:t xml:space="preserve">     |</w:t>
        <w:br/>
      </w:r>
      <w:r>
        <w:rPr>
          <w:rFonts w:ascii="Consolas" w:hAnsi="Consolas"/>
          <w:sz w:val="14"/>
        </w:rPr>
        <w:t xml:space="preserve">     +-------------&gt; C1 Operating Point</w:t>
        <w:br/>
      </w:r>
      <w:r>
        <w:rPr>
          <w:rFonts w:ascii="Consolas" w:hAnsi="Consolas"/>
          <w:sz w:val="14"/>
        </w:rPr>
        <w:t xml:space="preserve">                           |</w:t>
        <w:br/>
      </w:r>
      <w:r>
        <w:rPr>
          <w:rFonts w:ascii="Consolas" w:hAnsi="Consolas"/>
          <w:sz w:val="14"/>
        </w:rPr>
        <w:t xml:space="preserve">                           +--&gt; E1 ROR</w:t>
        <w:br/>
      </w:r>
      <w:r>
        <w:rPr>
          <w:rFonts w:ascii="Consolas" w:hAnsi="Consolas"/>
          <w:sz w:val="14"/>
        </w:rPr>
        <w:t>A4 Frequency Correction --+</w:t>
        <w:br/>
      </w:r>
      <w:r>
        <w:rPr>
          <w:rFonts w:ascii="Consolas" w:hAnsi="Consolas"/>
          <w:sz w:val="14"/>
        </w:rPr>
        <w:t>B2 Motor Data -----------&gt; C2 Motor Load</w:t>
        <w:br/>
      </w:r>
      <w:r>
        <w:rPr>
          <w:rFonts w:ascii="Consolas" w:hAnsi="Consolas"/>
          <w:sz w:val="14"/>
        </w:rPr>
        <w:t>D2 Free Gas -------------&gt; D3 Gas Derating</w:t>
        <w:br/>
      </w:r>
      <w:r>
        <w:rPr>
          <w:rFonts w:ascii="Consolas" w:hAnsi="Consolas"/>
          <w:sz w:val="14"/>
        </w:rPr>
        <w:t>B1 Water Curve ----------&gt; D1 Viscosity</w:t>
        <w:br/>
      </w:r>
      <w:r>
        <w:rPr>
          <w:rFonts w:ascii="Consolas" w:hAnsi="Consolas"/>
          <w:sz w:val="14"/>
        </w:rPr>
        <w:t>F1/F2/F3 ----------------&gt; diagnostic evidence</w:t>
        <w:br/>
      </w:r>
    </w:p>
    <w:p/>
    <w:p>
      <w:pPr>
        <w:pStyle w:val="Heading1"/>
      </w:pPr>
      <w:r>
        <w:t>37. Implementation Directory</w:t>
      </w:r>
    </w:p>
    <w:p>
      <w:pPr>
        <w:ind w:left="259" w:right="259"/>
      </w:pPr>
      <w:r>
        <w:rPr>
          <w:rFonts w:ascii="Consolas" w:hAnsi="Consolas"/>
          <w:sz w:val="14"/>
        </w:rPr>
        <w:t>engineering_service/</w:t>
        <w:br/>
      </w:r>
      <w:r>
        <w:rPr>
          <w:rFonts w:ascii="Consolas" w:hAnsi="Consolas"/>
          <w:sz w:val="14"/>
        </w:rPr>
        <w:t>├── api/</w:t>
        <w:br/>
      </w:r>
      <w:r>
        <w:rPr>
          <w:rFonts w:ascii="Consolas" w:hAnsi="Consolas"/>
          <w:sz w:val="14"/>
        </w:rPr>
        <w:t>│   ├── routes.py</w:t>
        <w:br/>
      </w:r>
      <w:r>
        <w:rPr>
          <w:rFonts w:ascii="Consolas" w:hAnsi="Consolas"/>
          <w:sz w:val="14"/>
        </w:rPr>
        <w:t>│   └── schemas.py</w:t>
        <w:br/>
      </w:r>
      <w:r>
        <w:rPr>
          <w:rFonts w:ascii="Consolas" w:hAnsi="Consolas"/>
          <w:sz w:val="14"/>
        </w:rPr>
        <w:t>├── core/</w:t>
        <w:br/>
      </w:r>
      <w:r>
        <w:rPr>
          <w:rFonts w:ascii="Consolas" w:hAnsi="Consolas"/>
          <w:sz w:val="14"/>
        </w:rPr>
        <w:t>│   ├── registry.py</w:t>
        <w:br/>
      </w:r>
      <w:r>
        <w:rPr>
          <w:rFonts w:ascii="Consolas" w:hAnsi="Consolas"/>
          <w:sz w:val="14"/>
        </w:rPr>
        <w:t>│   ├── executor.py</w:t>
        <w:br/>
      </w:r>
      <w:r>
        <w:rPr>
          <w:rFonts w:ascii="Consolas" w:hAnsi="Consolas"/>
          <w:sz w:val="14"/>
        </w:rPr>
        <w:t>│   ├── validation.py</w:t>
        <w:br/>
      </w:r>
      <w:r>
        <w:rPr>
          <w:rFonts w:ascii="Consolas" w:hAnsi="Consolas"/>
          <w:sz w:val="14"/>
        </w:rPr>
        <w:t>│   └── provenance.py</w:t>
        <w:br/>
      </w:r>
      <w:r>
        <w:rPr>
          <w:rFonts w:ascii="Consolas" w:hAnsi="Consolas"/>
          <w:sz w:val="14"/>
        </w:rPr>
        <w:t>├── calculations/</w:t>
        <w:br/>
      </w:r>
      <w:r>
        <w:rPr>
          <w:rFonts w:ascii="Consolas" w:hAnsi="Consolas"/>
          <w:sz w:val="14"/>
        </w:rPr>
        <w:t>│   ├── section_a.py</w:t>
        <w:br/>
      </w:r>
      <w:r>
        <w:rPr>
          <w:rFonts w:ascii="Consolas" w:hAnsi="Consolas"/>
          <w:sz w:val="14"/>
        </w:rPr>
        <w:t>│   ├── section_b.py</w:t>
        <w:br/>
      </w:r>
      <w:r>
        <w:rPr>
          <w:rFonts w:ascii="Consolas" w:hAnsi="Consolas"/>
          <w:sz w:val="14"/>
        </w:rPr>
        <w:t>│   ├── section_c.py</w:t>
        <w:br/>
      </w:r>
      <w:r>
        <w:rPr>
          <w:rFonts w:ascii="Consolas" w:hAnsi="Consolas"/>
          <w:sz w:val="14"/>
        </w:rPr>
        <w:t>│   ├── section_d.py</w:t>
        <w:br/>
      </w:r>
      <w:r>
        <w:rPr>
          <w:rFonts w:ascii="Consolas" w:hAnsi="Consolas"/>
          <w:sz w:val="14"/>
        </w:rPr>
        <w:t>│   ├── section_e.py</w:t>
        <w:br/>
      </w:r>
      <w:r>
        <w:rPr>
          <w:rFonts w:ascii="Consolas" w:hAnsi="Consolas"/>
          <w:sz w:val="14"/>
        </w:rPr>
        <w:t>│   ├── section_f.py</w:t>
        <w:br/>
      </w:r>
      <w:r>
        <w:rPr>
          <w:rFonts w:ascii="Consolas" w:hAnsi="Consolas"/>
          <w:sz w:val="14"/>
        </w:rPr>
        <w:t>│   └── section_g.py</w:t>
        <w:br/>
      </w:r>
      <w:r>
        <w:rPr>
          <w:rFonts w:ascii="Consolas" w:hAnsi="Consolas"/>
          <w:sz w:val="14"/>
        </w:rPr>
        <w:t>├── data/</w:t>
        <w:br/>
      </w:r>
      <w:r>
        <w:rPr>
          <w:rFonts w:ascii="Consolas" w:hAnsi="Consolas"/>
          <w:sz w:val="14"/>
        </w:rPr>
        <w:t>│   ├── oem/</w:t>
        <w:br/>
      </w:r>
      <w:r>
        <w:rPr>
          <w:rFonts w:ascii="Consolas" w:hAnsi="Consolas"/>
          <w:sz w:val="14"/>
        </w:rPr>
        <w:t>│   ├── client_limits/</w:t>
        <w:br/>
      </w:r>
      <w:r>
        <w:rPr>
          <w:rFonts w:ascii="Consolas" w:hAnsi="Consolas"/>
          <w:sz w:val="14"/>
        </w:rPr>
        <w:t>│   └── references/</w:t>
        <w:br/>
      </w:r>
      <w:r>
        <w:rPr>
          <w:rFonts w:ascii="Consolas" w:hAnsi="Consolas"/>
          <w:sz w:val="14"/>
        </w:rPr>
        <w:t>├── adapters/</w:t>
        <w:br/>
      </w:r>
      <w:r>
        <w:rPr>
          <w:rFonts w:ascii="Consolas" w:hAnsi="Consolas"/>
          <w:sz w:val="14"/>
        </w:rPr>
        <w:t>│   ├── asset_context.py</w:t>
        <w:br/>
      </w:r>
      <w:r>
        <w:rPr>
          <w:rFonts w:ascii="Consolas" w:hAnsi="Consolas"/>
          <w:sz w:val="14"/>
        </w:rPr>
        <w:t>│   ├── telemetry.py</w:t>
        <w:br/>
      </w:r>
      <w:r>
        <w:rPr>
          <w:rFonts w:ascii="Consolas" w:hAnsi="Consolas"/>
          <w:sz w:val="14"/>
        </w:rPr>
        <w:t>│   ├── pvt.py</w:t>
        <w:br/>
      </w:r>
      <w:r>
        <w:rPr>
          <w:rFonts w:ascii="Consolas" w:hAnsi="Consolas"/>
          <w:sz w:val="14"/>
        </w:rPr>
        <w:t>│   └── oem_catalog.py</w:t>
        <w:br/>
      </w:r>
      <w:r>
        <w:rPr>
          <w:rFonts w:ascii="Consolas" w:hAnsi="Consolas"/>
          <w:sz w:val="14"/>
        </w:rPr>
        <w:t>├── tools/</w:t>
        <w:br/>
      </w:r>
      <w:r>
        <w:rPr>
          <w:rFonts w:ascii="Consolas" w:hAnsi="Consolas"/>
          <w:sz w:val="14"/>
        </w:rPr>
        <w:t>│   └── engineering_tools.py</w:t>
        <w:br/>
      </w:r>
      <w:r>
        <w:rPr>
          <w:rFonts w:ascii="Consolas" w:hAnsi="Consolas"/>
          <w:sz w:val="14"/>
        </w:rPr>
        <w:t>├── audit/</w:t>
        <w:br/>
      </w:r>
      <w:r>
        <w:rPr>
          <w:rFonts w:ascii="Consolas" w:hAnsi="Consolas"/>
          <w:sz w:val="14"/>
        </w:rPr>
        <w:t>│   └── repository.py</w:t>
        <w:br/>
      </w:r>
      <w:r>
        <w:rPr>
          <w:rFonts w:ascii="Consolas" w:hAnsi="Consolas"/>
          <w:sz w:val="14"/>
        </w:rPr>
        <w:t>└── tests/</w:t>
        <w:br/>
      </w:r>
      <w:r>
        <w:rPr>
          <w:rFonts w:ascii="Consolas" w:hAnsi="Consolas"/>
          <w:sz w:val="14"/>
        </w:rPr>
        <w:t xml:space="preserve">    ├── unit/</w:t>
        <w:br/>
      </w:r>
      <w:r>
        <w:rPr>
          <w:rFonts w:ascii="Consolas" w:hAnsi="Consolas"/>
          <w:sz w:val="14"/>
        </w:rPr>
        <w:t xml:space="preserve">    ├── integration/</w:t>
        <w:br/>
      </w:r>
      <w:r>
        <w:rPr>
          <w:rFonts w:ascii="Consolas" w:hAnsi="Consolas"/>
          <w:sz w:val="14"/>
        </w:rPr>
        <w:t xml:space="preserve">    ├── contract/</w:t>
        <w:br/>
      </w:r>
      <w:r>
        <w:rPr>
          <w:rFonts w:ascii="Consolas" w:hAnsi="Consolas"/>
          <w:sz w:val="14"/>
        </w:rPr>
        <w:t xml:space="preserve">    └── golden/</w:t>
        <w:br/>
      </w:r>
    </w:p>
    <w:p/>
    <w:p>
      <w:pPr>
        <w:pStyle w:val="Heading1"/>
      </w:pPr>
      <w:r>
        <w:t>38. Implementation Sequence</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3"/>
              </w:rPr>
              <w:t>Sprint</w:t>
            </w:r>
          </w:p>
        </w:tc>
        <w:tc>
          <w:tcPr>
            <w:tcW w:type="dxa" w:w="3485"/>
            <w:shd w:fill="D9EAF7"/>
          </w:tcPr>
          <w:p>
            <w:r>
              <w:rPr>
                <w:b/>
                <w:sz w:val="13"/>
              </w:rPr>
              <w:t>Scope</w:t>
            </w:r>
          </w:p>
        </w:tc>
        <w:tc>
          <w:tcPr>
            <w:tcW w:type="dxa" w:w="3485"/>
            <w:shd w:fill="D9EAF7"/>
          </w:tcPr>
          <w:p>
            <w:r>
              <w:rPr>
                <w:b/>
                <w:sz w:val="13"/>
              </w:rPr>
              <w:t>Exit criteria</w:t>
            </w:r>
          </w:p>
        </w:tc>
      </w:tr>
      <w:tr>
        <w:tc>
          <w:tcPr>
            <w:tcW w:type="dxa" w:w="3485"/>
            <w:vAlign w:val="center"/>
          </w:tcPr>
          <w:p>
            <w:r>
              <w:rPr>
                <w:sz w:val="13"/>
              </w:rPr>
              <w:t>ENG-1</w:t>
            </w:r>
          </w:p>
        </w:tc>
        <w:tc>
          <w:tcPr>
            <w:tcW w:type="dxa" w:w="3485"/>
            <w:vAlign w:val="center"/>
          </w:tcPr>
          <w:p>
            <w:r>
              <w:rPr>
                <w:sz w:val="13"/>
              </w:rPr>
              <w:t>Service skeleton + contracts</w:t>
            </w:r>
          </w:p>
        </w:tc>
        <w:tc>
          <w:tcPr>
            <w:tcW w:type="dxa" w:w="3485"/>
            <w:vAlign w:val="center"/>
          </w:tcPr>
          <w:p>
            <w:r>
              <w:rPr>
                <w:sz w:val="13"/>
              </w:rPr>
              <w:t>API starts; shared schemas validate</w:t>
            </w:r>
          </w:p>
        </w:tc>
      </w:tr>
      <w:tr>
        <w:tc>
          <w:tcPr>
            <w:tcW w:type="dxa" w:w="3485"/>
            <w:vAlign w:val="center"/>
          </w:tcPr>
          <w:p>
            <w:r>
              <w:rPr>
                <w:sz w:val="13"/>
              </w:rPr>
              <w:t>ENG-2</w:t>
            </w:r>
          </w:p>
        </w:tc>
        <w:tc>
          <w:tcPr>
            <w:tcW w:type="dxa" w:w="3485"/>
            <w:vAlign w:val="center"/>
          </w:tcPr>
          <w:p>
            <w:r>
              <w:rPr>
                <w:sz w:val="13"/>
              </w:rPr>
              <w:t>Registry loader + fail-closed executor</w:t>
            </w:r>
          </w:p>
        </w:tc>
        <w:tc>
          <w:tcPr>
            <w:tcW w:type="dxa" w:w="3485"/>
            <w:vAlign w:val="center"/>
          </w:tcPr>
          <w:p>
            <w:r>
              <w:rPr>
                <w:sz w:val="13"/>
              </w:rPr>
              <w:t>Registry is authoritative at runtime</w:t>
            </w:r>
          </w:p>
        </w:tc>
      </w:tr>
      <w:tr>
        <w:tc>
          <w:tcPr>
            <w:tcW w:type="dxa" w:w="3485"/>
            <w:vAlign w:val="center"/>
          </w:tcPr>
          <w:p>
            <w:r>
              <w:rPr>
                <w:sz w:val="13"/>
              </w:rPr>
              <w:t>ENG-3</w:t>
            </w:r>
          </w:p>
        </w:tc>
        <w:tc>
          <w:tcPr>
            <w:tcW w:type="dxa" w:w="3485"/>
            <w:vAlign w:val="center"/>
          </w:tcPr>
          <w:p>
            <w:r>
              <w:rPr>
                <w:sz w:val="13"/>
              </w:rPr>
              <w:t>A1/A2/A4/A5</w:t>
            </w:r>
          </w:p>
        </w:tc>
        <w:tc>
          <w:tcPr>
            <w:tcW w:type="dxa" w:w="3485"/>
            <w:vAlign w:val="center"/>
          </w:tcPr>
          <w:p>
            <w:r>
              <w:rPr>
                <w:sz w:val="13"/>
              </w:rPr>
              <w:t>Synthetic tests pass; deterministic outputs reproducible</w:t>
            </w:r>
          </w:p>
        </w:tc>
      </w:tr>
      <w:tr>
        <w:tc>
          <w:tcPr>
            <w:tcW w:type="dxa" w:w="3485"/>
            <w:vAlign w:val="center"/>
          </w:tcPr>
          <w:p>
            <w:r>
              <w:rPr>
                <w:sz w:val="13"/>
              </w:rPr>
              <w:t>ENG-4</w:t>
            </w:r>
          </w:p>
        </w:tc>
        <w:tc>
          <w:tcPr>
            <w:tcW w:type="dxa" w:w="3485"/>
            <w:vAlign w:val="center"/>
          </w:tcPr>
          <w:p>
            <w:r>
              <w:rPr>
                <w:sz w:val="13"/>
              </w:rPr>
              <w:t>C2/F1</w:t>
            </w:r>
          </w:p>
        </w:tc>
        <w:tc>
          <w:tcPr>
            <w:tcW w:type="dxa" w:w="3485"/>
            <w:vAlign w:val="center"/>
          </w:tcPr>
          <w:p>
            <w:r>
              <w:rPr>
                <w:sz w:val="13"/>
              </w:rPr>
              <w:t>Trend/load tests pass</w:t>
            </w:r>
          </w:p>
        </w:tc>
      </w:tr>
      <w:tr>
        <w:tc>
          <w:tcPr>
            <w:tcW w:type="dxa" w:w="3485"/>
            <w:vAlign w:val="center"/>
          </w:tcPr>
          <w:p>
            <w:r>
              <w:rPr>
                <w:sz w:val="13"/>
              </w:rPr>
              <w:t>ENG-5</w:t>
            </w:r>
          </w:p>
        </w:tc>
        <w:tc>
          <w:tcPr>
            <w:tcW w:type="dxa" w:w="3485"/>
            <w:vAlign w:val="center"/>
          </w:tcPr>
          <w:p>
            <w:r>
              <w:rPr>
                <w:sz w:val="13"/>
              </w:rPr>
              <w:t>OEM master-data adapter + B1</w:t>
            </w:r>
          </w:p>
        </w:tc>
        <w:tc>
          <w:tcPr>
            <w:tcW w:type="dxa" w:w="3485"/>
            <w:vAlign w:val="center"/>
          </w:tcPr>
          <w:p>
            <w:r>
              <w:rPr>
                <w:sz w:val="13"/>
              </w:rPr>
              <w:t>One exact real pump curve executes</w:t>
            </w:r>
          </w:p>
        </w:tc>
      </w:tr>
      <w:tr>
        <w:tc>
          <w:tcPr>
            <w:tcW w:type="dxa" w:w="3485"/>
            <w:vAlign w:val="center"/>
          </w:tcPr>
          <w:p>
            <w:r>
              <w:rPr>
                <w:sz w:val="13"/>
              </w:rPr>
              <w:t>ENG-6</w:t>
            </w:r>
          </w:p>
        </w:tc>
        <w:tc>
          <w:tcPr>
            <w:tcW w:type="dxa" w:w="3485"/>
            <w:vAlign w:val="center"/>
          </w:tcPr>
          <w:p>
            <w:r>
              <w:rPr>
                <w:sz w:val="13"/>
              </w:rPr>
              <w:t>B2 + motor loading</w:t>
            </w:r>
          </w:p>
        </w:tc>
        <w:tc>
          <w:tcPr>
            <w:tcW w:type="dxa" w:w="3485"/>
            <w:vAlign w:val="center"/>
          </w:tcPr>
          <w:p>
            <w:r>
              <w:rPr>
                <w:sz w:val="13"/>
              </w:rPr>
              <w:t>Exact motor data integrated</w:t>
            </w:r>
          </w:p>
        </w:tc>
      </w:tr>
      <w:tr>
        <w:tc>
          <w:tcPr>
            <w:tcW w:type="dxa" w:w="3485"/>
            <w:vAlign w:val="center"/>
          </w:tcPr>
          <w:p>
            <w:r>
              <w:rPr>
                <w:sz w:val="13"/>
              </w:rPr>
              <w:t>ENG-7</w:t>
            </w:r>
          </w:p>
        </w:tc>
        <w:tc>
          <w:tcPr>
            <w:tcW w:type="dxa" w:w="3485"/>
            <w:vAlign w:val="center"/>
          </w:tcPr>
          <w:p>
            <w:r>
              <w:rPr>
                <w:sz w:val="13"/>
              </w:rPr>
              <w:t>E1 limits/readiness</w:t>
            </w:r>
          </w:p>
        </w:tc>
        <w:tc>
          <w:tcPr>
            <w:tcW w:type="dxa" w:w="3485"/>
            <w:vAlign w:val="center"/>
          </w:tcPr>
          <w:p>
            <w:r>
              <w:rPr>
                <w:sz w:val="13"/>
              </w:rPr>
              <w:t>Approved ROR checks work</w:t>
            </w:r>
          </w:p>
        </w:tc>
      </w:tr>
      <w:tr>
        <w:tc>
          <w:tcPr>
            <w:tcW w:type="dxa" w:w="3485"/>
            <w:vAlign w:val="center"/>
          </w:tcPr>
          <w:p>
            <w:r>
              <w:rPr>
                <w:sz w:val="13"/>
              </w:rPr>
              <w:t>ENG-8</w:t>
            </w:r>
          </w:p>
        </w:tc>
        <w:tc>
          <w:tcPr>
            <w:tcW w:type="dxa" w:w="3485"/>
            <w:vAlign w:val="center"/>
          </w:tcPr>
          <w:p>
            <w:r>
              <w:rPr>
                <w:sz w:val="13"/>
              </w:rPr>
              <w:t>Evidence/provenance</w:t>
            </w:r>
          </w:p>
        </w:tc>
        <w:tc>
          <w:tcPr>
            <w:tcW w:type="dxa" w:w="3485"/>
            <w:vAlign w:val="center"/>
          </w:tcPr>
          <w:p>
            <w:r>
              <w:rPr>
                <w:sz w:val="13"/>
              </w:rPr>
              <w:t>Result links to input/reference records</w:t>
            </w:r>
          </w:p>
        </w:tc>
      </w:tr>
      <w:tr>
        <w:tc>
          <w:tcPr>
            <w:tcW w:type="dxa" w:w="3485"/>
            <w:vAlign w:val="center"/>
          </w:tcPr>
          <w:p>
            <w:r>
              <w:rPr>
                <w:sz w:val="13"/>
              </w:rPr>
              <w:t>ENG-9</w:t>
            </w:r>
          </w:p>
        </w:tc>
        <w:tc>
          <w:tcPr>
            <w:tcW w:type="dxa" w:w="3485"/>
            <w:vAlign w:val="center"/>
          </w:tcPr>
          <w:p>
            <w:r>
              <w:rPr>
                <w:sz w:val="13"/>
              </w:rPr>
              <w:t>Agent Tool + LangGraph</w:t>
            </w:r>
          </w:p>
        </w:tc>
        <w:tc>
          <w:tcPr>
            <w:tcW w:type="dxa" w:w="3485"/>
            <w:vAlign w:val="center"/>
          </w:tcPr>
          <w:p>
            <w:r>
              <w:rPr>
                <w:sz w:val="13"/>
              </w:rPr>
              <w:t>Specialist can request calculations</w:t>
            </w:r>
          </w:p>
        </w:tc>
      </w:tr>
      <w:tr>
        <w:tc>
          <w:tcPr>
            <w:tcW w:type="dxa" w:w="3485"/>
            <w:vAlign w:val="center"/>
          </w:tcPr>
          <w:p>
            <w:r>
              <w:rPr>
                <w:sz w:val="13"/>
              </w:rPr>
              <w:t>ENG-10</w:t>
            </w:r>
          </w:p>
        </w:tc>
        <w:tc>
          <w:tcPr>
            <w:tcW w:type="dxa" w:w="3485"/>
            <w:vAlign w:val="center"/>
          </w:tcPr>
          <w:p>
            <w:r>
              <w:rPr>
                <w:sz w:val="13"/>
              </w:rPr>
              <w:t>REST + optional MCP</w:t>
            </w:r>
          </w:p>
        </w:tc>
        <w:tc>
          <w:tcPr>
            <w:tcW w:type="dxa" w:w="3485"/>
            <w:vAlign w:val="center"/>
          </w:tcPr>
          <w:p>
            <w:r>
              <w:rPr>
                <w:sz w:val="13"/>
              </w:rPr>
              <w:t>Equivalent result paths</w:t>
            </w:r>
          </w:p>
        </w:tc>
      </w:tr>
      <w:tr>
        <w:tc>
          <w:tcPr>
            <w:tcW w:type="dxa" w:w="3485"/>
            <w:vAlign w:val="center"/>
          </w:tcPr>
          <w:p>
            <w:r>
              <w:rPr>
                <w:sz w:val="13"/>
              </w:rPr>
              <w:t>ENG-11</w:t>
            </w:r>
          </w:p>
        </w:tc>
        <w:tc>
          <w:tcPr>
            <w:tcW w:type="dxa" w:w="3485"/>
            <w:vAlign w:val="center"/>
          </w:tcPr>
          <w:p>
            <w:r>
              <w:rPr>
                <w:sz w:val="13"/>
              </w:rPr>
              <w:t>UI/XAI</w:t>
            </w:r>
          </w:p>
        </w:tc>
        <w:tc>
          <w:tcPr>
            <w:tcW w:type="dxa" w:w="3485"/>
            <w:vAlign w:val="center"/>
          </w:tcPr>
          <w:p>
            <w:r>
              <w:rPr>
                <w:sz w:val="13"/>
              </w:rPr>
              <w:t>Engineering results visualized in chat</w:t>
            </w:r>
          </w:p>
        </w:tc>
      </w:tr>
      <w:tr>
        <w:tc>
          <w:tcPr>
            <w:tcW w:type="dxa" w:w="3485"/>
            <w:vAlign w:val="center"/>
          </w:tcPr>
          <w:p>
            <w:r>
              <w:rPr>
                <w:sz w:val="13"/>
              </w:rPr>
              <w:t>ENG-12</w:t>
            </w:r>
          </w:p>
        </w:tc>
        <w:tc>
          <w:tcPr>
            <w:tcW w:type="dxa" w:w="3485"/>
            <w:vAlign w:val="center"/>
          </w:tcPr>
          <w:p>
            <w:r>
              <w:rPr>
                <w:sz w:val="13"/>
              </w:rPr>
              <w:t>Validation/golden scenarios</w:t>
            </w:r>
          </w:p>
        </w:tc>
        <w:tc>
          <w:tcPr>
            <w:tcW w:type="dxa" w:w="3485"/>
            <w:vAlign w:val="center"/>
          </w:tcPr>
          <w:p>
            <w:r>
              <w:rPr>
                <w:sz w:val="13"/>
              </w:rPr>
              <w:t>Engineer-reviewed cases pass</w:t>
            </w:r>
          </w:p>
        </w:tc>
      </w:tr>
    </w:tbl>
    <w:p/>
    <w:p>
      <w:pPr>
        <w:pStyle w:val="Heading1"/>
      </w:pPr>
      <w:r>
        <w:t>39. Phase Dependencies</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Dependency</w:t>
            </w:r>
          </w:p>
        </w:tc>
        <w:tc>
          <w:tcPr>
            <w:tcW w:type="dxa" w:w="5227"/>
            <w:shd w:fill="D9EAF7"/>
          </w:tcPr>
          <w:p>
            <w:r>
              <w:rPr>
                <w:b/>
                <w:sz w:val="14"/>
              </w:rPr>
              <w:t>Required capability</w:t>
            </w:r>
          </w:p>
        </w:tc>
      </w:tr>
      <w:tr>
        <w:tc>
          <w:tcPr>
            <w:tcW w:type="dxa" w:w="5227"/>
            <w:vAlign w:val="center"/>
          </w:tcPr>
          <w:p>
            <w:r>
              <w:rPr>
                <w:sz w:val="14"/>
              </w:rPr>
              <w:t>Asset Context</w:t>
            </w:r>
          </w:p>
        </w:tc>
        <w:tc>
          <w:tcPr>
            <w:tcW w:type="dxa" w:w="5227"/>
            <w:vAlign w:val="center"/>
          </w:tcPr>
          <w:p>
            <w:r>
              <w:rPr>
                <w:sz w:val="14"/>
              </w:rPr>
              <w:t>Exact asset equipment, hierarchy, installed pump/motor, mapping</w:t>
            </w:r>
          </w:p>
        </w:tc>
      </w:tr>
      <w:tr>
        <w:tc>
          <w:tcPr>
            <w:tcW w:type="dxa" w:w="5227"/>
            <w:vAlign w:val="center"/>
          </w:tcPr>
          <w:p>
            <w:r>
              <w:rPr>
                <w:sz w:val="14"/>
              </w:rPr>
              <w:t>Telemetry</w:t>
            </w:r>
          </w:p>
        </w:tc>
        <w:tc>
          <w:tcPr>
            <w:tcW w:type="dxa" w:w="5227"/>
            <w:vAlign w:val="center"/>
          </w:tcPr>
          <w:p>
            <w:r>
              <w:rPr>
                <w:sz w:val="14"/>
              </w:rPr>
              <w:t>Current values, timestamps, QoD</w:t>
            </w:r>
          </w:p>
        </w:tc>
      </w:tr>
      <w:tr>
        <w:tc>
          <w:tcPr>
            <w:tcW w:type="dxa" w:w="5227"/>
            <w:vAlign w:val="center"/>
          </w:tcPr>
          <w:p>
            <w:r>
              <w:rPr>
                <w:sz w:val="14"/>
              </w:rPr>
              <w:t>PVT/Fluid</w:t>
            </w:r>
          </w:p>
        </w:tc>
        <w:tc>
          <w:tcPr>
            <w:tcW w:type="dxa" w:w="5227"/>
            <w:vAlign w:val="center"/>
          </w:tcPr>
          <w:p>
            <w:r>
              <w:rPr>
                <w:sz w:val="14"/>
              </w:rPr>
              <w:t>Flowing SG, viscosity, water cut, oil gravity, PVT</w:t>
            </w:r>
          </w:p>
        </w:tc>
      </w:tr>
      <w:tr>
        <w:tc>
          <w:tcPr>
            <w:tcW w:type="dxa" w:w="5227"/>
            <w:vAlign w:val="center"/>
          </w:tcPr>
          <w:p>
            <w:r>
              <w:rPr>
                <w:sz w:val="14"/>
              </w:rPr>
              <w:t>OEM master data</w:t>
            </w:r>
          </w:p>
        </w:tc>
        <w:tc>
          <w:tcPr>
            <w:tcW w:type="dxa" w:w="5227"/>
            <w:vAlign w:val="center"/>
          </w:tcPr>
          <w:p>
            <w:r>
              <w:rPr>
                <w:sz w:val="14"/>
              </w:rPr>
              <w:t>Pump curves, motor nameplate/performance, cable/gas data</w:t>
            </w:r>
          </w:p>
        </w:tc>
      </w:tr>
      <w:tr>
        <w:tc>
          <w:tcPr>
            <w:tcW w:type="dxa" w:w="5227"/>
            <w:vAlign w:val="center"/>
          </w:tcPr>
          <w:p>
            <w:r>
              <w:rPr>
                <w:sz w:val="14"/>
              </w:rPr>
              <w:t>Client policy</w:t>
            </w:r>
          </w:p>
        </w:tc>
        <w:tc>
          <w:tcPr>
            <w:tcW w:type="dxa" w:w="5227"/>
            <w:vAlign w:val="center"/>
          </w:tcPr>
          <w:p>
            <w:r>
              <w:rPr>
                <w:sz w:val="14"/>
              </w:rPr>
              <w:t>ROR/temperature/vibration/load thresholds</w:t>
            </w:r>
          </w:p>
        </w:tc>
      </w:tr>
      <w:tr>
        <w:tc>
          <w:tcPr>
            <w:tcW w:type="dxa" w:w="5227"/>
            <w:vAlign w:val="center"/>
          </w:tcPr>
          <w:p>
            <w:r>
              <w:rPr>
                <w:sz w:val="14"/>
              </w:rPr>
              <w:t>Objective Layer</w:t>
            </w:r>
          </w:p>
        </w:tc>
        <w:tc>
          <w:tcPr>
            <w:tcW w:type="dxa" w:w="5227"/>
            <w:vAlign w:val="center"/>
          </w:tcPr>
          <w:p>
            <w:r>
              <w:rPr>
                <w:sz w:val="14"/>
              </w:rPr>
              <w:t>Which calculations are required for each workflow</w:t>
            </w:r>
          </w:p>
        </w:tc>
      </w:tr>
      <w:tr>
        <w:tc>
          <w:tcPr>
            <w:tcW w:type="dxa" w:w="5227"/>
            <w:vAlign w:val="center"/>
          </w:tcPr>
          <w:p>
            <w:r>
              <w:rPr>
                <w:sz w:val="14"/>
              </w:rPr>
              <w:t>Tool Registry</w:t>
            </w:r>
          </w:p>
        </w:tc>
        <w:tc>
          <w:tcPr>
            <w:tcW w:type="dxa" w:w="5227"/>
            <w:vAlign w:val="center"/>
          </w:tcPr>
          <w:p>
            <w:r>
              <w:rPr>
                <w:sz w:val="14"/>
              </w:rPr>
              <w:t>Agent-facing capability definitions</w:t>
            </w:r>
          </w:p>
        </w:tc>
      </w:tr>
      <w:tr>
        <w:tc>
          <w:tcPr>
            <w:tcW w:type="dxa" w:w="5227"/>
            <w:vAlign w:val="center"/>
          </w:tcPr>
          <w:p>
            <w:r>
              <w:rPr>
                <w:sz w:val="14"/>
              </w:rPr>
              <w:t>PolicyEngine</w:t>
            </w:r>
          </w:p>
        </w:tc>
        <w:tc>
          <w:tcPr>
            <w:tcW w:type="dxa" w:w="5227"/>
            <w:vAlign w:val="center"/>
          </w:tcPr>
          <w:p>
            <w:r>
              <w:rPr>
                <w:sz w:val="14"/>
              </w:rPr>
              <w:t>Authorization for calculation/tool use</w:t>
            </w:r>
          </w:p>
        </w:tc>
      </w:tr>
      <w:tr>
        <w:tc>
          <w:tcPr>
            <w:tcW w:type="dxa" w:w="5227"/>
            <w:vAlign w:val="center"/>
          </w:tcPr>
          <w:p>
            <w:r>
              <w:rPr>
                <w:sz w:val="14"/>
              </w:rPr>
              <w:t>Evidence Pack</w:t>
            </w:r>
          </w:p>
        </w:tc>
        <w:tc>
          <w:tcPr>
            <w:tcW w:type="dxa" w:w="5227"/>
            <w:vAlign w:val="center"/>
          </w:tcPr>
          <w:p>
            <w:r>
              <w:rPr>
                <w:sz w:val="14"/>
              </w:rPr>
              <w:t>Calculation provenance and claim trace</w:t>
            </w:r>
          </w:p>
        </w:tc>
      </w:tr>
      <w:tr>
        <w:tc>
          <w:tcPr>
            <w:tcW w:type="dxa" w:w="5227"/>
            <w:vAlign w:val="center"/>
          </w:tcPr>
          <w:p>
            <w:r>
              <w:rPr>
                <w:sz w:val="14"/>
              </w:rPr>
              <w:t>Audit Service</w:t>
            </w:r>
          </w:p>
        </w:tc>
        <w:tc>
          <w:tcPr>
            <w:tcW w:type="dxa" w:w="5227"/>
            <w:vAlign w:val="center"/>
          </w:tcPr>
          <w:p>
            <w:r>
              <w:rPr>
                <w:sz w:val="14"/>
              </w:rPr>
              <w:t>Reproducible run trace</w:t>
            </w:r>
          </w:p>
        </w:tc>
      </w:tr>
    </w:tbl>
    <w:p/>
    <w:p>
      <w:pPr>
        <w:pStyle w:val="Heading1"/>
      </w:pPr>
      <w:r>
        <w:t>40. Production Hardening</w:t>
      </w:r>
    </w:p>
    <w:p>
      <w:pPr>
        <w:pStyle w:val="ListBullet"/>
        <w:spacing w:after="20"/>
      </w:pPr>
      <w:r>
        <w:t>Version calculation registry and reference registry together; record effective dates.</w:t>
      </w:r>
    </w:p>
    <w:p>
      <w:pPr>
        <w:pStyle w:val="ListBullet"/>
        <w:spacing w:after="20"/>
      </w:pPr>
      <w:r>
        <w:t>Version every OEM dataset and client-limit configuration.</w:t>
      </w:r>
    </w:p>
    <w:p>
      <w:pPr>
        <w:pStyle w:val="ListBullet"/>
        <w:spacing w:after="20"/>
      </w:pPr>
      <w:r>
        <w:t>Make calculation implementations immutable within a service version.</w:t>
      </w:r>
    </w:p>
    <w:p>
      <w:pPr>
        <w:pStyle w:val="ListBullet"/>
        <w:spacing w:after="20"/>
      </w:pPr>
      <w:r>
        <w:t>Do not allow ad-hoc formula edits through the UI.</w:t>
      </w:r>
    </w:p>
    <w:p>
      <w:pPr>
        <w:pStyle w:val="ListBullet"/>
        <w:spacing w:after="20"/>
      </w:pPr>
      <w:r>
        <w:t>Require review/approval workflow for reference or limit changes.</w:t>
      </w:r>
    </w:p>
    <w:p>
      <w:pPr>
        <w:pStyle w:val="ListBullet"/>
        <w:spacing w:after="20"/>
      </w:pPr>
      <w:r>
        <w:t>Monitor calculation failures, missing-input rates and blocked-calculation reasons.</w:t>
      </w:r>
    </w:p>
    <w:p>
      <w:pPr>
        <w:pStyle w:val="ListBullet"/>
        <w:spacing w:after="20"/>
      </w:pPr>
      <w:r>
        <w:t>Record exact input snapshot, source timestamps and calculation version for every material result.</w:t>
      </w:r>
    </w:p>
    <w:p>
      <w:pPr>
        <w:pStyle w:val="ListBullet"/>
        <w:spacing w:after="20"/>
      </w:pPr>
      <w:r>
        <w:t>Maintain rollback to prior calculation/service versions.</w:t>
      </w:r>
    </w:p>
    <w:p>
      <w:pPr>
        <w:pStyle w:val="Heading1"/>
      </w:pPr>
      <w:r>
        <w:t>41. Security</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Boundary</w:t>
            </w:r>
          </w:p>
        </w:tc>
        <w:tc>
          <w:tcPr>
            <w:tcW w:type="dxa" w:w="5227"/>
            <w:shd w:fill="D9EAF7"/>
          </w:tcPr>
          <w:p>
            <w:r>
              <w:rPr>
                <w:b/>
                <w:sz w:val="14"/>
              </w:rPr>
              <w:t>Control</w:t>
            </w:r>
          </w:p>
        </w:tc>
      </w:tr>
      <w:tr>
        <w:tc>
          <w:tcPr>
            <w:tcW w:type="dxa" w:w="5227"/>
            <w:vAlign w:val="center"/>
          </w:tcPr>
          <w:p>
            <w:r>
              <w:rPr>
                <w:sz w:val="14"/>
              </w:rPr>
              <w:t>Agent → Tool</w:t>
            </w:r>
          </w:p>
        </w:tc>
        <w:tc>
          <w:tcPr>
            <w:tcW w:type="dxa" w:w="5227"/>
            <w:vAlign w:val="center"/>
          </w:tcPr>
          <w:p>
            <w:r>
              <w:rPr>
                <w:sz w:val="14"/>
              </w:rPr>
              <w:t>Objective/specialist ACL</w:t>
            </w:r>
          </w:p>
        </w:tc>
      </w:tr>
      <w:tr>
        <w:tc>
          <w:tcPr>
            <w:tcW w:type="dxa" w:w="5227"/>
            <w:vAlign w:val="center"/>
          </w:tcPr>
          <w:p>
            <w:r>
              <w:rPr>
                <w:sz w:val="14"/>
              </w:rPr>
              <w:t>Tool → Engineering API</w:t>
            </w:r>
          </w:p>
        </w:tc>
        <w:tc>
          <w:tcPr>
            <w:tcW w:type="dxa" w:w="5227"/>
            <w:vAlign w:val="center"/>
          </w:tcPr>
          <w:p>
            <w:r>
              <w:rPr>
                <w:sz w:val="14"/>
              </w:rPr>
              <w:t>Service identity + authorization</w:t>
            </w:r>
          </w:p>
        </w:tc>
      </w:tr>
      <w:tr>
        <w:tc>
          <w:tcPr>
            <w:tcW w:type="dxa" w:w="5227"/>
            <w:vAlign w:val="center"/>
          </w:tcPr>
          <w:p>
            <w:r>
              <w:rPr>
                <w:sz w:val="14"/>
              </w:rPr>
              <w:t>Engineering → Source adapters</w:t>
            </w:r>
          </w:p>
        </w:tc>
        <w:tc>
          <w:tcPr>
            <w:tcW w:type="dxa" w:w="5227"/>
            <w:vAlign w:val="center"/>
          </w:tcPr>
          <w:p>
            <w:r>
              <w:rPr>
                <w:sz w:val="14"/>
              </w:rPr>
              <w:t>Tenant/asset scope</w:t>
            </w:r>
          </w:p>
        </w:tc>
      </w:tr>
      <w:tr>
        <w:tc>
          <w:tcPr>
            <w:tcW w:type="dxa" w:w="5227"/>
            <w:vAlign w:val="center"/>
          </w:tcPr>
          <w:p>
            <w:r>
              <w:rPr>
                <w:sz w:val="14"/>
              </w:rPr>
              <w:t>OEM/client data</w:t>
            </w:r>
          </w:p>
        </w:tc>
        <w:tc>
          <w:tcPr>
            <w:tcW w:type="dxa" w:w="5227"/>
            <w:vAlign w:val="center"/>
          </w:tcPr>
          <w:p>
            <w:r>
              <w:rPr>
                <w:sz w:val="14"/>
              </w:rPr>
              <w:t>Controlled access; immutable versioned records</w:t>
            </w:r>
          </w:p>
        </w:tc>
      </w:tr>
      <w:tr>
        <w:tc>
          <w:tcPr>
            <w:tcW w:type="dxa" w:w="5227"/>
            <w:vAlign w:val="center"/>
          </w:tcPr>
          <w:p>
            <w:r>
              <w:rPr>
                <w:sz w:val="14"/>
              </w:rPr>
              <w:t>Reference changes</w:t>
            </w:r>
          </w:p>
        </w:tc>
        <w:tc>
          <w:tcPr>
            <w:tcW w:type="dxa" w:w="5227"/>
            <w:vAlign w:val="center"/>
          </w:tcPr>
          <w:p>
            <w:r>
              <w:rPr>
                <w:sz w:val="14"/>
              </w:rPr>
              <w:t>Privileged review</w:t>
            </w:r>
          </w:p>
        </w:tc>
      </w:tr>
      <w:tr>
        <w:tc>
          <w:tcPr>
            <w:tcW w:type="dxa" w:w="5227"/>
            <w:vAlign w:val="center"/>
          </w:tcPr>
          <w:p>
            <w:r>
              <w:rPr>
                <w:sz w:val="14"/>
              </w:rPr>
              <w:t>UI</w:t>
            </w:r>
          </w:p>
        </w:tc>
        <w:tc>
          <w:tcPr>
            <w:tcW w:type="dxa" w:w="5227"/>
            <w:vAlign w:val="center"/>
          </w:tcPr>
          <w:p>
            <w:r>
              <w:rPr>
                <w:sz w:val="14"/>
              </w:rPr>
              <w:t>Never trust UI authorization; enforce server-side</w:t>
            </w:r>
          </w:p>
        </w:tc>
      </w:tr>
    </w:tbl>
    <w:p/>
    <w:p>
      <w:pPr>
        <w:pStyle w:val="Heading1"/>
      </w:pPr>
      <w:r>
        <w:t>42. Observability</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Metric</w:t>
            </w:r>
          </w:p>
        </w:tc>
        <w:tc>
          <w:tcPr>
            <w:tcW w:type="dxa" w:w="5227"/>
            <w:shd w:fill="D9EAF7"/>
          </w:tcPr>
          <w:p>
            <w:r>
              <w:rPr>
                <w:b/>
                <w:sz w:val="14"/>
              </w:rPr>
              <w:t>Purpose</w:t>
            </w:r>
          </w:p>
        </w:tc>
      </w:tr>
      <w:tr>
        <w:tc>
          <w:tcPr>
            <w:tcW w:type="dxa" w:w="5227"/>
            <w:vAlign w:val="center"/>
          </w:tcPr>
          <w:p>
            <w:r>
              <w:rPr>
                <w:sz w:val="14"/>
              </w:rPr>
              <w:t>calculation_requests_total</w:t>
            </w:r>
          </w:p>
        </w:tc>
        <w:tc>
          <w:tcPr>
            <w:tcW w:type="dxa" w:w="5227"/>
            <w:vAlign w:val="center"/>
          </w:tcPr>
          <w:p>
            <w:r>
              <w:rPr>
                <w:sz w:val="14"/>
              </w:rPr>
              <w:t>Usage</w:t>
            </w:r>
          </w:p>
        </w:tc>
      </w:tr>
      <w:tr>
        <w:tc>
          <w:tcPr>
            <w:tcW w:type="dxa" w:w="5227"/>
            <w:vAlign w:val="center"/>
          </w:tcPr>
          <w:p>
            <w:r>
              <w:rPr>
                <w:sz w:val="14"/>
              </w:rPr>
              <w:t>calculation_failures_total</w:t>
            </w:r>
          </w:p>
        </w:tc>
        <w:tc>
          <w:tcPr>
            <w:tcW w:type="dxa" w:w="5227"/>
            <w:vAlign w:val="center"/>
          </w:tcPr>
          <w:p>
            <w:r>
              <w:rPr>
                <w:sz w:val="14"/>
              </w:rPr>
              <w:t>Reliability</w:t>
            </w:r>
          </w:p>
        </w:tc>
      </w:tr>
      <w:tr>
        <w:tc>
          <w:tcPr>
            <w:tcW w:type="dxa" w:w="5227"/>
            <w:vAlign w:val="center"/>
          </w:tcPr>
          <w:p>
            <w:r>
              <w:rPr>
                <w:sz w:val="14"/>
              </w:rPr>
              <w:t>blocked_calculations_total</w:t>
            </w:r>
          </w:p>
        </w:tc>
        <w:tc>
          <w:tcPr>
            <w:tcW w:type="dxa" w:w="5227"/>
            <w:vAlign w:val="center"/>
          </w:tcPr>
          <w:p>
            <w:r>
              <w:rPr>
                <w:sz w:val="14"/>
              </w:rPr>
              <w:t>Data/config readiness</w:t>
            </w:r>
          </w:p>
        </w:tc>
      </w:tr>
      <w:tr>
        <w:tc>
          <w:tcPr>
            <w:tcW w:type="dxa" w:w="5227"/>
            <w:vAlign w:val="center"/>
          </w:tcPr>
          <w:p>
            <w:r>
              <w:rPr>
                <w:sz w:val="14"/>
              </w:rPr>
              <w:t>calculation_latency</w:t>
            </w:r>
          </w:p>
        </w:tc>
        <w:tc>
          <w:tcPr>
            <w:tcW w:type="dxa" w:w="5227"/>
            <w:vAlign w:val="center"/>
          </w:tcPr>
          <w:p>
            <w:r>
              <w:rPr>
                <w:sz w:val="14"/>
              </w:rPr>
              <w:t>Performance</w:t>
            </w:r>
          </w:p>
        </w:tc>
      </w:tr>
      <w:tr>
        <w:tc>
          <w:tcPr>
            <w:tcW w:type="dxa" w:w="5227"/>
            <w:vAlign w:val="center"/>
          </w:tcPr>
          <w:p>
            <w:r>
              <w:rPr>
                <w:sz w:val="14"/>
              </w:rPr>
              <w:t>oem_lookup_misses</w:t>
            </w:r>
          </w:p>
        </w:tc>
        <w:tc>
          <w:tcPr>
            <w:tcW w:type="dxa" w:w="5227"/>
            <w:vAlign w:val="center"/>
          </w:tcPr>
          <w:p>
            <w:r>
              <w:rPr>
                <w:sz w:val="14"/>
              </w:rPr>
              <w:t>Data coverage</w:t>
            </w:r>
          </w:p>
        </w:tc>
      </w:tr>
      <w:tr>
        <w:tc>
          <w:tcPr>
            <w:tcW w:type="dxa" w:w="5227"/>
            <w:vAlign w:val="center"/>
          </w:tcPr>
          <w:p>
            <w:r>
              <w:rPr>
                <w:sz w:val="14"/>
              </w:rPr>
              <w:t>client_limit_missing</w:t>
            </w:r>
          </w:p>
        </w:tc>
        <w:tc>
          <w:tcPr>
            <w:tcW w:type="dxa" w:w="5227"/>
            <w:vAlign w:val="center"/>
          </w:tcPr>
          <w:p>
            <w:r>
              <w:rPr>
                <w:sz w:val="14"/>
              </w:rPr>
              <w:t>Configuration gap</w:t>
            </w:r>
          </w:p>
        </w:tc>
      </w:tr>
      <w:tr>
        <w:tc>
          <w:tcPr>
            <w:tcW w:type="dxa" w:w="5227"/>
            <w:vAlign w:val="center"/>
          </w:tcPr>
          <w:p>
            <w:r>
              <w:rPr>
                <w:sz w:val="14"/>
              </w:rPr>
              <w:t>invalid_input_count</w:t>
            </w:r>
          </w:p>
        </w:tc>
        <w:tc>
          <w:tcPr>
            <w:tcW w:type="dxa" w:w="5227"/>
            <w:vAlign w:val="center"/>
          </w:tcPr>
          <w:p>
            <w:r>
              <w:rPr>
                <w:sz w:val="14"/>
              </w:rPr>
              <w:t>Data quality</w:t>
            </w:r>
          </w:p>
        </w:tc>
      </w:tr>
      <w:tr>
        <w:tc>
          <w:tcPr>
            <w:tcW w:type="dxa" w:w="5227"/>
            <w:vAlign w:val="center"/>
          </w:tcPr>
          <w:p>
            <w:r>
              <w:rPr>
                <w:sz w:val="14"/>
              </w:rPr>
              <w:t>result_validation_failures</w:t>
            </w:r>
          </w:p>
        </w:tc>
        <w:tc>
          <w:tcPr>
            <w:tcW w:type="dxa" w:w="5227"/>
            <w:vAlign w:val="center"/>
          </w:tcPr>
          <w:p>
            <w:r>
              <w:rPr>
                <w:sz w:val="14"/>
              </w:rPr>
              <w:t>Engine health</w:t>
            </w:r>
          </w:p>
        </w:tc>
      </w:tr>
      <w:tr>
        <w:tc>
          <w:tcPr>
            <w:tcW w:type="dxa" w:w="5227"/>
            <w:vAlign w:val="center"/>
          </w:tcPr>
          <w:p>
            <w:r>
              <w:rPr>
                <w:sz w:val="14"/>
              </w:rPr>
              <w:t>engineering_run_trace</w:t>
            </w:r>
          </w:p>
        </w:tc>
        <w:tc>
          <w:tcPr>
            <w:tcW w:type="dxa" w:w="5227"/>
            <w:vAlign w:val="center"/>
          </w:tcPr>
          <w:p>
            <w:r>
              <w:rPr>
                <w:sz w:val="14"/>
              </w:rPr>
              <w:t>Audit/reproducibility</w:t>
            </w:r>
          </w:p>
        </w:tc>
      </w:tr>
    </w:tbl>
    <w:p/>
    <w:p>
      <w:pPr>
        <w:pStyle w:val="Heading1"/>
      </w:pPr>
      <w:r>
        <w:t>43. Acceptance Scenarios</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Scenario</w:t>
            </w:r>
          </w:p>
        </w:tc>
        <w:tc>
          <w:tcPr>
            <w:tcW w:type="dxa" w:w="5227"/>
            <w:shd w:fill="D9EAF7"/>
          </w:tcPr>
          <w:p>
            <w:r>
              <w:rPr>
                <w:b/>
                <w:sz w:val="14"/>
              </w:rPr>
              <w:t>Expected result</w:t>
            </w:r>
          </w:p>
        </w:tc>
      </w:tr>
      <w:tr>
        <w:tc>
          <w:tcPr>
            <w:tcW w:type="dxa" w:w="5227"/>
            <w:vAlign w:val="center"/>
          </w:tcPr>
          <w:p>
            <w:r>
              <w:rPr>
                <w:sz w:val="14"/>
              </w:rPr>
              <w:t>Current performance</w:t>
            </w:r>
          </w:p>
        </w:tc>
        <w:tc>
          <w:tcPr>
            <w:tcW w:type="dxa" w:w="5227"/>
            <w:vAlign w:val="center"/>
          </w:tcPr>
          <w:p>
            <w:r>
              <w:rPr>
                <w:sz w:val="14"/>
              </w:rPr>
              <w:t>A1/A2/A4/A5/C2 results available with provenance where inputs exist</w:t>
            </w:r>
          </w:p>
        </w:tc>
      </w:tr>
      <w:tr>
        <w:tc>
          <w:tcPr>
            <w:tcW w:type="dxa" w:w="5227"/>
            <w:vAlign w:val="center"/>
          </w:tcPr>
          <w:p>
            <w:r>
              <w:rPr>
                <w:sz w:val="14"/>
              </w:rPr>
              <w:t>Frequency change question</w:t>
            </w:r>
          </w:p>
        </w:tc>
        <w:tc>
          <w:tcPr>
            <w:tcW w:type="dxa" w:w="5227"/>
            <w:vAlign w:val="center"/>
          </w:tcPr>
          <w:p>
            <w:r>
              <w:rPr>
                <w:sz w:val="14"/>
              </w:rPr>
              <w:t>Engineering tool returns only validated/base-curve-derived outputs</w:t>
            </w:r>
          </w:p>
        </w:tc>
      </w:tr>
      <w:tr>
        <w:tc>
          <w:tcPr>
            <w:tcW w:type="dxa" w:w="5227"/>
            <w:vAlign w:val="center"/>
          </w:tcPr>
          <w:p>
            <w:r>
              <w:rPr>
                <w:sz w:val="14"/>
              </w:rPr>
              <w:t>No OEM curve</w:t>
            </w:r>
          </w:p>
        </w:tc>
        <w:tc>
          <w:tcPr>
            <w:tcW w:type="dxa" w:w="5227"/>
            <w:vAlign w:val="center"/>
          </w:tcPr>
          <w:p>
            <w:r>
              <w:rPr>
                <w:sz w:val="14"/>
              </w:rPr>
              <w:t>B1 blocks with REQUIRES_OEM_DATA</w:t>
            </w:r>
          </w:p>
        </w:tc>
      </w:tr>
      <w:tr>
        <w:tc>
          <w:tcPr>
            <w:tcW w:type="dxa" w:w="5227"/>
            <w:vAlign w:val="center"/>
          </w:tcPr>
          <w:p>
            <w:r>
              <w:rPr>
                <w:sz w:val="14"/>
              </w:rPr>
              <w:t>No approved ROR</w:t>
            </w:r>
          </w:p>
        </w:tc>
        <w:tc>
          <w:tcPr>
            <w:tcW w:type="dxa" w:w="5227"/>
            <w:vAlign w:val="center"/>
          </w:tcPr>
          <w:p>
            <w:r>
              <w:rPr>
                <w:sz w:val="14"/>
              </w:rPr>
              <w:t>E1 blocks with configuration reason</w:t>
            </w:r>
          </w:p>
        </w:tc>
      </w:tr>
      <w:tr>
        <w:tc>
          <w:tcPr>
            <w:tcW w:type="dxa" w:w="5227"/>
            <w:vAlign w:val="center"/>
          </w:tcPr>
          <w:p>
            <w:r>
              <w:rPr>
                <w:sz w:val="14"/>
              </w:rPr>
              <w:t>Missing SG</w:t>
            </w:r>
          </w:p>
        </w:tc>
        <w:tc>
          <w:tcPr>
            <w:tcW w:type="dxa" w:w="5227"/>
            <w:vAlign w:val="center"/>
          </w:tcPr>
          <w:p>
            <w:r>
              <w:rPr>
                <w:sz w:val="14"/>
              </w:rPr>
              <w:t>A1 fails closed</w:t>
            </w:r>
          </w:p>
        </w:tc>
      </w:tr>
      <w:tr>
        <w:tc>
          <w:tcPr>
            <w:tcW w:type="dxa" w:w="5227"/>
            <w:vAlign w:val="center"/>
          </w:tcPr>
          <w:p>
            <w:r>
              <w:rPr>
                <w:sz w:val="14"/>
              </w:rPr>
              <w:t>Stale/invalid telemetry</w:t>
            </w:r>
          </w:p>
        </w:tc>
        <w:tc>
          <w:tcPr>
            <w:tcW w:type="dxa" w:w="5227"/>
            <w:vAlign w:val="center"/>
          </w:tcPr>
          <w:p>
            <w:r>
              <w:rPr>
                <w:sz w:val="14"/>
              </w:rPr>
              <w:t>Validation rejects/qualifies input; no fabricated value</w:t>
            </w:r>
          </w:p>
        </w:tc>
      </w:tr>
      <w:tr>
        <w:tc>
          <w:tcPr>
            <w:tcW w:type="dxa" w:w="5227"/>
            <w:vAlign w:val="center"/>
          </w:tcPr>
          <w:p>
            <w:r>
              <w:rPr>
                <w:sz w:val="14"/>
              </w:rPr>
              <w:t>Agent asks for unsupported calculation</w:t>
            </w:r>
          </w:p>
        </w:tc>
        <w:tc>
          <w:tcPr>
            <w:tcW w:type="dxa" w:w="5227"/>
            <w:vAlign w:val="center"/>
          </w:tcPr>
          <w:p>
            <w:r>
              <w:rPr>
                <w:sz w:val="14"/>
              </w:rPr>
              <w:t>Tool registry/registry status prevents execution</w:t>
            </w:r>
          </w:p>
        </w:tc>
      </w:tr>
      <w:tr>
        <w:tc>
          <w:tcPr>
            <w:tcW w:type="dxa" w:w="5227"/>
            <w:vAlign w:val="center"/>
          </w:tcPr>
          <w:p>
            <w:r>
              <w:rPr>
                <w:sz w:val="14"/>
              </w:rPr>
              <w:t>UI explanation</w:t>
            </w:r>
          </w:p>
        </w:tc>
        <w:tc>
          <w:tcPr>
            <w:tcW w:type="dxa" w:w="5227"/>
            <w:vAlign w:val="center"/>
          </w:tcPr>
          <w:p>
            <w:r>
              <w:rPr>
                <w:sz w:val="14"/>
              </w:rPr>
              <w:t>Formula inputs/assumptions/source are viewable</w:t>
            </w:r>
          </w:p>
        </w:tc>
      </w:tr>
    </w:tbl>
    <w:p/>
    <w:p>
      <w:pPr>
        <w:pStyle w:val="Heading1"/>
      </w:pPr>
      <w:r>
        <w:t>44. What Must Never Happen</w:t>
      </w:r>
    </w:p>
    <w:p>
      <w:pPr>
        <w:pStyle w:val="ListBullet"/>
        <w:spacing w:after="20"/>
      </w:pPr>
      <w:r>
        <w:t>LLM invents a pump curve.</w:t>
      </w:r>
    </w:p>
    <w:p>
      <w:pPr>
        <w:pStyle w:val="ListBullet"/>
        <w:spacing w:after="20"/>
      </w:pPr>
      <w:r>
        <w:t>LLM invents an operating limit.</w:t>
      </w:r>
    </w:p>
    <w:p>
      <w:pPr>
        <w:pStyle w:val="ListBullet"/>
        <w:spacing w:after="20"/>
      </w:pPr>
      <w:r>
        <w:t>Service defaults missing SG to 1.0.</w:t>
      </w:r>
    </w:p>
    <w:p>
      <w:pPr>
        <w:pStyle w:val="ListBullet"/>
        <w:spacing w:after="20"/>
      </w:pPr>
      <w:r>
        <w:t>Service assumes every OEM curve is 60 Hz.</w:t>
      </w:r>
    </w:p>
    <w:p>
      <w:pPr>
        <w:pStyle w:val="ListBullet"/>
        <w:spacing w:after="20"/>
      </w:pPr>
      <w:r>
        <w:t>Service extrapolates beyond an OEM curve without explicit engineering authorization.</w:t>
      </w:r>
    </w:p>
    <w:p>
      <w:pPr>
        <w:pStyle w:val="ListBullet"/>
        <w:spacing w:after="20"/>
      </w:pPr>
      <w:r>
        <w:t>Service silently chooses a PVT/IPR correlation that was not approved.</w:t>
      </w:r>
    </w:p>
    <w:p>
      <w:pPr>
        <w:pStyle w:val="ListBullet"/>
        <w:spacing w:after="20"/>
      </w:pPr>
      <w:r>
        <w:t>MCP and REST contain different calculation logic.</w:t>
      </w:r>
    </w:p>
    <w:p>
      <w:pPr>
        <w:pStyle w:val="ListBullet"/>
        <w:spacing w:after="20"/>
      </w:pPr>
      <w:r>
        <w:t>A calculation result appears valid when required inputs are missing.</w:t>
      </w:r>
    </w:p>
    <w:p>
      <w:pPr>
        <w:pStyle w:val="ListBullet"/>
        <w:spacing w:after="20"/>
      </w:pPr>
      <w:r>
        <w:t>A withdrawn standard is shown as the current compliance authority.</w:t>
      </w:r>
    </w:p>
    <w:p>
      <w:pPr>
        <w:pStyle w:val="Heading1"/>
      </w:pPr>
      <w:r>
        <w:t>45. Current Status from the Four Artifacts</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Area</w:t>
            </w:r>
          </w:p>
        </w:tc>
        <w:tc>
          <w:tcPr>
            <w:tcW w:type="dxa" w:w="5227"/>
            <w:shd w:fill="D9EAF7"/>
          </w:tcPr>
          <w:p>
            <w:r>
              <w:rPr>
                <w:b/>
                <w:sz w:val="14"/>
              </w:rPr>
              <w:t>Current state</w:t>
            </w:r>
          </w:p>
        </w:tc>
      </w:tr>
      <w:tr>
        <w:tc>
          <w:tcPr>
            <w:tcW w:type="dxa" w:w="5227"/>
            <w:vAlign w:val="center"/>
          </w:tcPr>
          <w:p>
            <w:r>
              <w:rPr>
                <w:sz w:val="14"/>
              </w:rPr>
              <w:t>Calculation definitions</w:t>
            </w:r>
          </w:p>
        </w:tc>
        <w:tc>
          <w:tcPr>
            <w:tcW w:type="dxa" w:w="5227"/>
            <w:vAlign w:val="center"/>
          </w:tcPr>
          <w:p>
            <w:r>
              <w:rPr>
                <w:sz w:val="14"/>
              </w:rPr>
              <w:t>Substantially defined across A–G</w:t>
            </w:r>
          </w:p>
        </w:tc>
      </w:tr>
      <w:tr>
        <w:tc>
          <w:tcPr>
            <w:tcW w:type="dxa" w:w="5227"/>
            <w:vAlign w:val="center"/>
          </w:tcPr>
          <w:p>
            <w:r>
              <w:rPr>
                <w:sz w:val="14"/>
              </w:rPr>
              <w:t>Input schema</w:t>
            </w:r>
          </w:p>
        </w:tc>
        <w:tc>
          <w:tcPr>
            <w:tcW w:type="dxa" w:w="5227"/>
            <w:vAlign w:val="center"/>
          </w:tcPr>
          <w:p>
            <w:r>
              <w:rPr>
                <w:sz w:val="14"/>
              </w:rPr>
              <w:t>Defined, with explicit source/authority and fail-closed rule</w:t>
            </w:r>
          </w:p>
        </w:tc>
      </w:tr>
      <w:tr>
        <w:tc>
          <w:tcPr>
            <w:tcW w:type="dxa" w:w="5227"/>
            <w:vAlign w:val="center"/>
          </w:tcPr>
          <w:p>
            <w:r>
              <w:rPr>
                <w:sz w:val="14"/>
              </w:rPr>
              <w:t>Reference registry</w:t>
            </w:r>
          </w:p>
        </w:tc>
        <w:tc>
          <w:tcPr>
            <w:tcW w:type="dxa" w:w="5227"/>
            <w:vAlign w:val="center"/>
          </w:tcPr>
          <w:p>
            <w:r>
              <w:rPr>
                <w:sz w:val="14"/>
              </w:rPr>
              <w:t>Defined, with several explicit validation gaps</w:t>
            </w:r>
          </w:p>
        </w:tc>
      </w:tr>
      <w:tr>
        <w:tc>
          <w:tcPr>
            <w:tcW w:type="dxa" w:w="5227"/>
            <w:vAlign w:val="center"/>
          </w:tcPr>
          <w:p>
            <w:r>
              <w:rPr>
                <w:sz w:val="14"/>
              </w:rPr>
              <w:t>Test cases</w:t>
            </w:r>
          </w:p>
        </w:tc>
        <w:tc>
          <w:tcPr>
            <w:tcW w:type="dxa" w:w="5227"/>
            <w:vAlign w:val="center"/>
          </w:tcPr>
          <w:p>
            <w:r>
              <w:rPr>
                <w:sz w:val="14"/>
              </w:rPr>
              <w:t>Defined: arithmetic + failure modes + real-data placeholders</w:t>
            </w:r>
          </w:p>
        </w:tc>
      </w:tr>
      <w:tr>
        <w:tc>
          <w:tcPr>
            <w:tcW w:type="dxa" w:w="5227"/>
            <w:vAlign w:val="center"/>
          </w:tcPr>
          <w:p>
            <w:r>
              <w:rPr>
                <w:sz w:val="14"/>
              </w:rPr>
              <w:t>Deterministic execution engine</w:t>
            </w:r>
          </w:p>
        </w:tc>
        <w:tc>
          <w:tcPr>
            <w:tcW w:type="dxa" w:w="5227"/>
            <w:vAlign w:val="center"/>
          </w:tcPr>
          <w:p>
            <w:r>
              <w:rPr>
                <w:sz w:val="14"/>
              </w:rPr>
              <w:t>Not established by these files; this document specifies it</w:t>
            </w:r>
          </w:p>
        </w:tc>
      </w:tr>
      <w:tr>
        <w:tc>
          <w:tcPr>
            <w:tcW w:type="dxa" w:w="5227"/>
            <w:vAlign w:val="center"/>
          </w:tcPr>
          <w:p>
            <w:r>
              <w:rPr>
                <w:sz w:val="14"/>
              </w:rPr>
              <w:t>OEM master datasets</w:t>
            </w:r>
          </w:p>
        </w:tc>
        <w:tc>
          <w:tcPr>
            <w:tcW w:type="dxa" w:w="5227"/>
            <w:vAlign w:val="center"/>
          </w:tcPr>
          <w:p>
            <w:r>
              <w:rPr>
                <w:sz w:val="14"/>
              </w:rPr>
              <w:t>Required inputs are defined; actual datasets are still dependencies</w:t>
            </w:r>
          </w:p>
        </w:tc>
      </w:tr>
      <w:tr>
        <w:tc>
          <w:tcPr>
            <w:tcW w:type="dxa" w:w="5227"/>
            <w:vAlign w:val="center"/>
          </w:tcPr>
          <w:p>
            <w:r>
              <w:rPr>
                <w:sz w:val="14"/>
              </w:rPr>
              <w:t>Client-approved limits</w:t>
            </w:r>
          </w:p>
        </w:tc>
        <w:tc>
          <w:tcPr>
            <w:tcW w:type="dxa" w:w="5227"/>
            <w:vAlign w:val="center"/>
          </w:tcPr>
          <w:p>
            <w:r>
              <w:rPr>
                <w:sz w:val="14"/>
              </w:rPr>
              <w:t>Schema exists; actual approved values are dependencies</w:t>
            </w:r>
          </w:p>
        </w:tc>
      </w:tr>
      <w:tr>
        <w:tc>
          <w:tcPr>
            <w:tcW w:type="dxa" w:w="5227"/>
            <w:vAlign w:val="center"/>
          </w:tcPr>
          <w:p>
            <w:r>
              <w:rPr>
                <w:sz w:val="14"/>
              </w:rPr>
              <w:t>Engineering REST service</w:t>
            </w:r>
          </w:p>
        </w:tc>
        <w:tc>
          <w:tcPr>
            <w:tcW w:type="dxa" w:w="5227"/>
            <w:vAlign w:val="center"/>
          </w:tcPr>
          <w:p>
            <w:r>
              <w:rPr>
                <w:sz w:val="14"/>
              </w:rPr>
              <w:t>Architecture/specification defined here; implementation remains to be built</w:t>
            </w:r>
          </w:p>
        </w:tc>
      </w:tr>
      <w:tr>
        <w:tc>
          <w:tcPr>
            <w:tcW w:type="dxa" w:w="5227"/>
            <w:vAlign w:val="center"/>
          </w:tcPr>
          <w:p>
            <w:r>
              <w:rPr>
                <w:sz w:val="14"/>
              </w:rPr>
              <w:t>Agent tool integration</w:t>
            </w:r>
          </w:p>
        </w:tc>
        <w:tc>
          <w:tcPr>
            <w:tcW w:type="dxa" w:w="5227"/>
            <w:vAlign w:val="center"/>
          </w:tcPr>
          <w:p>
            <w:r>
              <w:rPr>
                <w:sz w:val="14"/>
              </w:rPr>
              <w:t>Architecture defined here; implementation follows service availability</w:t>
            </w:r>
          </w:p>
        </w:tc>
      </w:tr>
    </w:tbl>
    <w:p/>
    <w:p>
      <w:pPr>
        <w:pStyle w:val="Heading1"/>
      </w:pPr>
      <w:r>
        <w:t>46. Final Architecture Freeze</w:t>
      </w:r>
    </w:p>
    <w:p>
      <w:pPr>
        <w:ind w:left="259" w:right="259"/>
      </w:pPr>
      <w:r>
        <w:rPr>
          <w:rFonts w:ascii="Consolas" w:hAnsi="Consolas"/>
          <w:sz w:val="14"/>
        </w:rPr>
        <w:t>LANGGRAPH / AGENT</w:t>
        <w:br/>
      </w:r>
      <w:r>
        <w:rPr>
          <w:rFonts w:ascii="Consolas" w:hAnsi="Consolas"/>
          <w:sz w:val="14"/>
        </w:rPr>
        <w:t xml:space="preserve">                                |</w:t>
        <w:br/>
      </w:r>
      <w:r>
        <w:rPr>
          <w:rFonts w:ascii="Consolas" w:hAnsi="Consolas"/>
          <w:sz w:val="14"/>
        </w:rPr>
        <w:t xml:space="preserve">                         Engineering Tool</w:t>
        <w:br/>
      </w:r>
      <w:r>
        <w:rPr>
          <w:rFonts w:ascii="Consolas" w:hAnsi="Consolas"/>
          <w:sz w:val="14"/>
        </w:rPr>
        <w:t xml:space="preserve">                                |</w:t>
        <w:br/>
      </w:r>
      <w:r>
        <w:rPr>
          <w:rFonts w:ascii="Consolas" w:hAnsi="Consolas"/>
          <w:sz w:val="14"/>
        </w:rPr>
        <w:t xml:space="preserve">                           PolicyEngine</w:t>
        <w:br/>
      </w:r>
      <w:r>
        <w:rPr>
          <w:rFonts w:ascii="Consolas" w:hAnsi="Consolas"/>
          <w:sz w:val="14"/>
        </w:rPr>
        <w:t xml:space="preserve">                                |</w:t>
        <w:br/>
      </w:r>
      <w:r>
        <w:rPr>
          <w:rFonts w:ascii="Consolas" w:hAnsi="Consolas"/>
          <w:sz w:val="14"/>
        </w:rPr>
        <w:t xml:space="preserve">                         +------+------+</w:t>
        <w:br/>
      </w:r>
      <w:r>
        <w:rPr>
          <w:rFonts w:ascii="Consolas" w:hAnsi="Consolas"/>
          <w:sz w:val="14"/>
        </w:rPr>
        <w:t xml:space="preserve">                         |             |</w:t>
        <w:br/>
      </w:r>
      <w:r>
        <w:rPr>
          <w:rFonts w:ascii="Consolas" w:hAnsi="Consolas"/>
          <w:sz w:val="14"/>
        </w:rPr>
        <w:t xml:space="preserve">                      REST          MCP*</w:t>
        <w:br/>
      </w:r>
      <w:r>
        <w:rPr>
          <w:rFonts w:ascii="Consolas" w:hAnsi="Consolas"/>
          <w:sz w:val="14"/>
        </w:rPr>
        <w:t xml:space="preserve">                         |             |</w:t>
        <w:br/>
      </w:r>
      <w:r>
        <w:rPr>
          <w:rFonts w:ascii="Consolas" w:hAnsi="Consolas"/>
          <w:sz w:val="14"/>
        </w:rPr>
        <w:t xml:space="preserve">                         +------+------+</w:t>
        <w:br/>
      </w:r>
      <w:r>
        <w:rPr>
          <w:rFonts w:ascii="Consolas" w:hAnsi="Consolas"/>
          <w:sz w:val="14"/>
        </w:rPr>
        <w:t xml:space="preserve">                                |</w:t>
        <w:br/>
      </w:r>
      <w:r>
        <w:rPr>
          <w:rFonts w:ascii="Consolas" w:hAnsi="Consolas"/>
          <w:sz w:val="14"/>
        </w:rPr>
        <w:t xml:space="preserve">                     ENGINEERING SERVICE</w:t>
        <w:br/>
      </w:r>
      <w:r>
        <w:rPr>
          <w:rFonts w:ascii="Consolas" w:hAnsi="Consolas"/>
          <w:sz w:val="14"/>
        </w:rPr>
        <w:t xml:space="preserve">                                |</w:t>
        <w:br/>
      </w:r>
      <w:r>
        <w:rPr>
          <w:rFonts w:ascii="Consolas" w:hAnsi="Consolas"/>
          <w:sz w:val="14"/>
        </w:rPr>
        <w:t xml:space="preserve">          +---------------------+----------------------+</w:t>
        <w:br/>
      </w:r>
      <w:r>
        <w:rPr>
          <w:rFonts w:ascii="Consolas" w:hAnsi="Consolas"/>
          <w:sz w:val="14"/>
        </w:rPr>
        <w:t xml:space="preserve">          |                     |                      |</w:t>
        <w:br/>
      </w:r>
      <w:r>
        <w:rPr>
          <w:rFonts w:ascii="Consolas" w:hAnsi="Consolas"/>
          <w:sz w:val="14"/>
        </w:rPr>
        <w:t xml:space="preserve">    Calculation Registry   Input/Reference       Deterministic</w:t>
        <w:br/>
      </w:r>
      <w:r>
        <w:rPr>
          <w:rFonts w:ascii="Consolas" w:hAnsi="Consolas"/>
          <w:sz w:val="14"/>
        </w:rPr>
        <w:t xml:space="preserve">                          Resolution              Calculations</w:t>
        <w:br/>
      </w:r>
      <w:r>
        <w:rPr>
          <w:rFonts w:ascii="Consolas" w:hAnsi="Consolas"/>
          <w:sz w:val="14"/>
        </w:rPr>
        <w:t xml:space="preserve">          |                     |                      |</w:t>
        <w:br/>
      </w:r>
      <w:r>
        <w:rPr>
          <w:rFonts w:ascii="Consolas" w:hAnsi="Consolas"/>
          <w:sz w:val="14"/>
        </w:rPr>
        <w:t xml:space="preserve">          +---------------------+----------------------+</w:t>
        <w:br/>
      </w:r>
      <w:r>
        <w:rPr>
          <w:rFonts w:ascii="Consolas" w:hAnsi="Consolas"/>
          <w:sz w:val="14"/>
        </w:rPr>
        <w:t xml:space="preserve">                                |</w:t>
        <w:br/>
      </w:r>
      <w:r>
        <w:rPr>
          <w:rFonts w:ascii="Consolas" w:hAnsi="Consolas"/>
          <w:sz w:val="14"/>
        </w:rPr>
        <w:t xml:space="preserve">                     Result Validation</w:t>
        <w:br/>
      </w:r>
      <w:r>
        <w:rPr>
          <w:rFonts w:ascii="Consolas" w:hAnsi="Consolas"/>
          <w:sz w:val="14"/>
        </w:rPr>
        <w:t xml:space="preserve">                                |</w:t>
        <w:br/>
      </w:r>
      <w:r>
        <w:rPr>
          <w:rFonts w:ascii="Consolas" w:hAnsi="Consolas"/>
          <w:sz w:val="14"/>
        </w:rPr>
        <w:t xml:space="preserve">                    Provenance + Audit</w:t>
        <w:br/>
      </w:r>
      <w:r>
        <w:rPr>
          <w:rFonts w:ascii="Consolas" w:hAnsi="Consolas"/>
          <w:sz w:val="14"/>
        </w:rPr>
        <w:t xml:space="preserve">                                |</w:t>
        <w:br/>
      </w:r>
      <w:r>
        <w:rPr>
          <w:rFonts w:ascii="Consolas" w:hAnsi="Consolas"/>
          <w:sz w:val="14"/>
        </w:rPr>
        <w:t xml:space="preserve">                       Engineering Result</w:t>
        <w:br/>
      </w:r>
      <w:r>
        <w:rPr>
          <w:rFonts w:ascii="Consolas" w:hAnsi="Consolas"/>
          <w:sz w:val="14"/>
        </w:rPr>
        <w:t xml:space="preserve">                                |</w:t>
        <w:br/>
      </w:r>
      <w:r>
        <w:rPr>
          <w:rFonts w:ascii="Consolas" w:hAnsi="Consolas"/>
          <w:sz w:val="14"/>
        </w:rPr>
        <w:t xml:space="preserve">                      +---------+---------+</w:t>
        <w:br/>
      </w:r>
      <w:r>
        <w:rPr>
          <w:rFonts w:ascii="Consolas" w:hAnsi="Consolas"/>
          <w:sz w:val="14"/>
        </w:rPr>
        <w:t xml:space="preserve">                      |                   |</w:t>
        <w:br/>
      </w:r>
      <w:r>
        <w:rPr>
          <w:rFonts w:ascii="Consolas" w:hAnsi="Consolas"/>
          <w:sz w:val="14"/>
        </w:rPr>
        <w:t xml:space="preserve">                  Evidence Pack        UI/XAI</w:t>
        <w:br/>
      </w:r>
    </w:p>
    <w:p/>
    <w:p>
      <w:pPr>
        <w:spacing w:after="80"/>
        <w:jc w:val="left"/>
      </w:pPr>
      <w:r>
        <w:rPr>
          <w:b w:val="0"/>
          <w:i w:val="0"/>
        </w:rPr>
        <w:t>*MCP is an optional interface to the same Engineering Service logic; it is not a second calculation engine.</w:t>
      </w:r>
    </w:p>
    <w:p>
      <w:pPr>
        <w:pStyle w:val="Heading1"/>
      </w:pPr>
      <w:r>
        <w:t>47. Recommended Immediate Build</w:t>
      </w:r>
    </w:p>
    <w:p>
      <w:pPr>
        <w:spacing w:after="80"/>
        <w:jc w:val="left"/>
      </w:pPr>
      <w:r>
        <w:rPr>
          <w:b w:val="0"/>
          <w:i w:val="0"/>
        </w:rPr>
        <w:t>Given the current state of the artifacts, the safest implementation path is:</w:t>
      </w:r>
    </w:p>
    <w:p>
      <w:pPr>
        <w:ind w:left="259" w:right="259"/>
      </w:pPr>
      <w:r>
        <w:rPr>
          <w:rFonts w:ascii="Consolas" w:hAnsi="Consolas"/>
          <w:sz w:val="14"/>
        </w:rPr>
        <w:t>1. Validate/approve the reference-registry gaps.</w:t>
        <w:br/>
      </w:r>
      <w:r>
        <w:rPr>
          <w:rFonts w:ascii="Consolas" w:hAnsi="Consolas"/>
          <w:sz w:val="14"/>
        </w:rPr>
        <w:t>2. Freeze calculation_registry.yaml version 1.</w:t>
        <w:br/>
      </w:r>
      <w:r>
        <w:rPr>
          <w:rFonts w:ascii="Consolas" w:hAnsi="Consolas"/>
          <w:sz w:val="14"/>
        </w:rPr>
        <w:t>3. Freeze engineering_input_schema.json version 1.</w:t>
        <w:br/>
      </w:r>
      <w:r>
        <w:rPr>
          <w:rFonts w:ascii="Consolas" w:hAnsi="Consolas"/>
          <w:sz w:val="14"/>
        </w:rPr>
        <w:t>4. Build the service skeleton + fail-closed executor.</w:t>
        <w:br/>
      </w:r>
      <w:r>
        <w:rPr>
          <w:rFonts w:ascii="Consolas" w:hAnsi="Consolas"/>
          <w:sz w:val="14"/>
        </w:rPr>
        <w:t>5. Implement A1/A2/A4/A5/C2/F1.</w:t>
        <w:br/>
      </w:r>
      <w:r>
        <w:rPr>
          <w:rFonts w:ascii="Consolas" w:hAnsi="Consolas"/>
          <w:sz w:val="14"/>
        </w:rPr>
        <w:t>6. Load one real OEM pump curve and implement B1.</w:t>
        <w:br/>
      </w:r>
      <w:r>
        <w:rPr>
          <w:rFonts w:ascii="Consolas" w:hAnsi="Consolas"/>
          <w:sz w:val="14"/>
        </w:rPr>
        <w:t>7. Load one real motor record and complete B2/C2.</w:t>
        <w:br/>
      </w:r>
      <w:r>
        <w:rPr>
          <w:rFonts w:ascii="Consolas" w:hAnsi="Consolas"/>
          <w:sz w:val="14"/>
        </w:rPr>
        <w:t>8. Add approved ROR/limit configuration.</w:t>
        <w:br/>
      </w:r>
      <w:r>
        <w:rPr>
          <w:rFonts w:ascii="Consolas" w:hAnsi="Consolas"/>
          <w:sz w:val="14"/>
        </w:rPr>
        <w:t>9. Expose the service through REST.</w:t>
        <w:br/>
      </w:r>
      <w:r>
        <w:rPr>
          <w:rFonts w:ascii="Consolas" w:hAnsi="Consolas"/>
          <w:sz w:val="14"/>
        </w:rPr>
        <w:t>10. Add Agent tools.</w:t>
        <w:br/>
      </w:r>
      <w:r>
        <w:rPr>
          <w:rFonts w:ascii="Consolas" w:hAnsi="Consolas"/>
          <w:sz w:val="14"/>
        </w:rPr>
        <w:t>11. Emit EngineeringResult → Evidence Pack.</w:t>
        <w:br/>
      </w:r>
      <w:r>
        <w:rPr>
          <w:rFonts w:ascii="Consolas" w:hAnsi="Consolas"/>
          <w:sz w:val="14"/>
        </w:rPr>
        <w:t>12. Show the result in the XAI/chat UI.</w:t>
        <w:br/>
      </w:r>
    </w:p>
    <w:p/>
    <w:p>
      <w:pPr>
        <w:pStyle w:val="Heading1"/>
      </w:pPr>
      <w:r>
        <w:t>48. Source Traceability</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Design statement</w:t>
            </w:r>
          </w:p>
        </w:tc>
        <w:tc>
          <w:tcPr>
            <w:tcW w:type="dxa" w:w="5227"/>
            <w:shd w:fill="D9EAF7"/>
          </w:tcPr>
          <w:p>
            <w:r>
              <w:rPr>
                <w:b/>
                <w:sz w:val="14"/>
              </w:rPr>
              <w:t>Primary supplied source</w:t>
            </w:r>
          </w:p>
        </w:tc>
      </w:tr>
      <w:tr>
        <w:tc>
          <w:tcPr>
            <w:tcW w:type="dxa" w:w="5227"/>
            <w:vAlign w:val="center"/>
          </w:tcPr>
          <w:p>
            <w:r>
              <w:rPr>
                <w:sz w:val="14"/>
              </w:rPr>
              <w:t>LLM is not calculation authority / no runtime formula regeneration</w:t>
            </w:r>
          </w:p>
        </w:tc>
        <w:tc>
          <w:tcPr>
            <w:tcW w:type="dxa" w:w="5227"/>
            <w:vAlign w:val="center"/>
          </w:tcPr>
          <w:p>
            <w:r>
              <w:rPr>
                <w:sz w:val="14"/>
              </w:rPr>
              <w:t>ESP_Engineering_Research_Package.md §Purpose/Governing rule; engineering_calculation_registry.yaml lines 9–13</w:t>
            </w:r>
          </w:p>
        </w:tc>
      </w:tr>
      <w:tr>
        <w:tc>
          <w:tcPr>
            <w:tcW w:type="dxa" w:w="5227"/>
            <w:vAlign w:val="center"/>
          </w:tcPr>
          <w:p>
            <w:r>
              <w:rPr>
                <w:sz w:val="14"/>
              </w:rPr>
              <w:t>Input sections and fail-closed rule</w:t>
            </w:r>
          </w:p>
        </w:tc>
        <w:tc>
          <w:tcPr>
            <w:tcW w:type="dxa" w:w="5227"/>
            <w:vAlign w:val="center"/>
          </w:tcPr>
          <w:p>
            <w:r>
              <w:rPr>
                <w:sz w:val="14"/>
              </w:rPr>
              <w:t>engineering_input_schema.json lines 782–895</w:t>
            </w:r>
          </w:p>
        </w:tc>
      </w:tr>
      <w:tr>
        <w:tc>
          <w:tcPr>
            <w:tcW w:type="dxa" w:w="5227"/>
            <w:vAlign w:val="center"/>
          </w:tcPr>
          <w:p>
            <w:r>
              <w:rPr>
                <w:sz w:val="14"/>
              </w:rPr>
              <w:t>Calculation families/statuses</w:t>
            </w:r>
          </w:p>
        </w:tc>
        <w:tc>
          <w:tcPr>
            <w:tcW w:type="dxa" w:w="5227"/>
            <w:vAlign w:val="center"/>
          </w:tcPr>
          <w:p>
            <w:r>
              <w:rPr>
                <w:sz w:val="14"/>
              </w:rPr>
              <w:t>engineering_calculation_registry.yaml lines 15–406</w:t>
            </w:r>
          </w:p>
        </w:tc>
      </w:tr>
      <w:tr>
        <w:tc>
          <w:tcPr>
            <w:tcW w:type="dxa" w:w="5227"/>
            <w:vAlign w:val="center"/>
          </w:tcPr>
          <w:p>
            <w:r>
              <w:rPr>
                <w:sz w:val="14"/>
              </w:rPr>
              <w:t>OEM master-data dependency</w:t>
            </w:r>
          </w:p>
        </w:tc>
        <w:tc>
          <w:tcPr>
            <w:tcW w:type="dxa" w:w="5227"/>
            <w:vAlign w:val="center"/>
          </w:tcPr>
          <w:p>
            <w:r>
              <w:rPr>
                <w:sz w:val="14"/>
              </w:rPr>
              <w:t>engineering_input_schema.json lines 847–857; registry B1–B3</w:t>
            </w:r>
          </w:p>
        </w:tc>
      </w:tr>
      <w:tr>
        <w:tc>
          <w:tcPr>
            <w:tcW w:type="dxa" w:w="5227"/>
            <w:vAlign w:val="center"/>
          </w:tcPr>
          <w:p>
            <w:r>
              <w:rPr>
                <w:sz w:val="14"/>
              </w:rPr>
              <w:t>Client limits must not be defaulted</w:t>
            </w:r>
          </w:p>
        </w:tc>
        <w:tc>
          <w:tcPr>
            <w:tcW w:type="dxa" w:w="5227"/>
            <w:vAlign w:val="center"/>
          </w:tcPr>
          <w:p>
            <w:r>
              <w:rPr>
                <w:sz w:val="14"/>
              </w:rPr>
              <w:t>engineering_input_schema.json lines 861–870</w:t>
            </w:r>
          </w:p>
        </w:tc>
      </w:tr>
      <w:tr>
        <w:tc>
          <w:tcPr>
            <w:tcW w:type="dxa" w:w="5227"/>
            <w:vAlign w:val="center"/>
          </w:tcPr>
          <w:p>
            <w:r>
              <w:rPr>
                <w:sz w:val="14"/>
              </w:rPr>
              <w:t>Reference validation/withdrawn items</w:t>
            </w:r>
          </w:p>
        </w:tc>
        <w:tc>
          <w:tcPr>
            <w:tcW w:type="dxa" w:w="5227"/>
            <w:vAlign w:val="center"/>
          </w:tcPr>
          <w:p>
            <w:r>
              <w:rPr>
                <w:sz w:val="14"/>
              </w:rPr>
              <w:t>engineering_reference_registry.yaml lines 416–605</w:t>
            </w:r>
          </w:p>
        </w:tc>
      </w:tr>
      <w:tr>
        <w:tc>
          <w:tcPr>
            <w:tcW w:type="dxa" w:w="5227"/>
            <w:vAlign w:val="center"/>
          </w:tcPr>
          <w:p>
            <w:r>
              <w:rPr>
                <w:sz w:val="14"/>
              </w:rPr>
              <w:t>Synthetic vs real-data test strategy</w:t>
            </w:r>
          </w:p>
        </w:tc>
        <w:tc>
          <w:tcPr>
            <w:tcW w:type="dxa" w:w="5227"/>
            <w:vAlign w:val="center"/>
          </w:tcPr>
          <w:p>
            <w:r>
              <w:rPr>
                <w:sz w:val="14"/>
              </w:rPr>
              <w:t>engineering_test_cases.yaml lines 615–765</w:t>
            </w:r>
          </w:p>
        </w:tc>
      </w:tr>
      <w:tr>
        <w:tc>
          <w:tcPr>
            <w:tcW w:type="dxa" w:w="5227"/>
            <w:vAlign w:val="center"/>
          </w:tcPr>
          <w:p>
            <w:r>
              <w:rPr>
                <w:sz w:val="14"/>
              </w:rPr>
              <w:t>A1–A5 detailed calculation basis</w:t>
            </w:r>
          </w:p>
        </w:tc>
        <w:tc>
          <w:tcPr>
            <w:tcW w:type="dxa" w:w="5227"/>
            <w:vAlign w:val="center"/>
          </w:tcPr>
          <w:p>
            <w:r>
              <w:rPr>
                <w:sz w:val="14"/>
              </w:rPr>
              <w:t>ESP_Engineering_Research_Package.md §2 and engineering_calculation_registry.yaml</w:t>
            </w:r>
          </w:p>
        </w:tc>
      </w:tr>
    </w:tbl>
    <w:p/>
    <w:p>
      <w:pPr>
        <w:spacing w:after="80"/>
        <w:jc w:val="left"/>
      </w:pPr>
      <w:r>
        <w:rPr>
          <w:b/>
          <w:i w:val="0"/>
        </w:rPr>
        <w:t>Document conclusion: the supplied artifacts are sufficient to begin the Engineering Service framework and the deterministic MVP calculations, but the full engineering capability remains gated by real OEM datasets, client-approved limits, PVT/well inputs, and resolution of explicitly marked engineering-validation items. The service should be built so blocked calculations remain blocked until those authorities are supplied.</w:t>
      </w:r>
    </w:p>
    <w:sectPr w:rsidR="00FC693F" w:rsidRPr="0006063C" w:rsidSect="00034616">
      <w:footerReference w:type="default" r:id="rId9"/>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ESP APM — Engineering Service Granular Architecture &amp; Implementation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257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D5A8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